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A204" w14:textId="77777777" w:rsidR="00F53853" w:rsidRPr="00663E53" w:rsidRDefault="0071158B" w:rsidP="00663E53">
      <w:pPr>
        <w:jc w:val="right"/>
        <w:rPr>
          <w:i/>
          <w:lang w:val="uk-UA"/>
        </w:rPr>
      </w:pPr>
      <w:r w:rsidRPr="00663E53">
        <w:rPr>
          <w:i/>
          <w:lang w:val="uk-UA"/>
        </w:rPr>
        <w:t>Постачальникам товарів/послуг</w:t>
      </w:r>
    </w:p>
    <w:p w14:paraId="7DD374ED" w14:textId="77777777" w:rsidR="0071158B" w:rsidRPr="00663E53" w:rsidRDefault="0071158B">
      <w:pPr>
        <w:rPr>
          <w:sz w:val="24"/>
          <w:lang w:val="uk-UA"/>
        </w:rPr>
      </w:pPr>
    </w:p>
    <w:p w14:paraId="3439A381" w14:textId="57F1CEA1" w:rsidR="0071158B" w:rsidRPr="00F4588F" w:rsidRDefault="0071158B" w:rsidP="00663E53">
      <w:pPr>
        <w:jc w:val="center"/>
        <w:rPr>
          <w:b/>
          <w:sz w:val="24"/>
        </w:rPr>
      </w:pPr>
      <w:r w:rsidRPr="00663E53">
        <w:rPr>
          <w:b/>
          <w:sz w:val="24"/>
          <w:lang w:val="uk-UA"/>
        </w:rPr>
        <w:t xml:space="preserve">Тендерне завдання від </w:t>
      </w:r>
      <w:r w:rsidR="000E697F">
        <w:rPr>
          <w:b/>
          <w:sz w:val="24"/>
          <w:lang w:val="uk-UA"/>
        </w:rPr>
        <w:t>26</w:t>
      </w:r>
      <w:r w:rsidRPr="00663E53">
        <w:rPr>
          <w:b/>
          <w:sz w:val="24"/>
          <w:lang w:val="uk-UA"/>
        </w:rPr>
        <w:t>.</w:t>
      </w:r>
      <w:r w:rsidR="000F0B4E">
        <w:rPr>
          <w:b/>
          <w:sz w:val="24"/>
          <w:lang w:val="uk-UA"/>
        </w:rPr>
        <w:t>0</w:t>
      </w:r>
      <w:r w:rsidR="00F4588F">
        <w:rPr>
          <w:b/>
          <w:sz w:val="24"/>
          <w:lang w:val="uk-UA"/>
        </w:rPr>
        <w:t>9</w:t>
      </w:r>
      <w:r w:rsidRPr="00663E53">
        <w:rPr>
          <w:b/>
          <w:sz w:val="24"/>
          <w:lang w:val="uk-UA"/>
        </w:rPr>
        <w:t>.202</w:t>
      </w:r>
      <w:r w:rsidR="005B1ED3" w:rsidRPr="00F4588F">
        <w:rPr>
          <w:b/>
          <w:sz w:val="24"/>
        </w:rPr>
        <w:t>5</w:t>
      </w:r>
    </w:p>
    <w:p w14:paraId="22426C00" w14:textId="77777777" w:rsidR="0071158B" w:rsidRPr="00663E53" w:rsidRDefault="0071158B" w:rsidP="00663E53">
      <w:pPr>
        <w:jc w:val="both"/>
        <w:rPr>
          <w:sz w:val="24"/>
          <w:lang w:val="uk-UA"/>
        </w:rPr>
      </w:pPr>
      <w:r w:rsidRPr="00663E53">
        <w:rPr>
          <w:sz w:val="24"/>
          <w:lang w:val="uk-UA"/>
        </w:rPr>
        <w:t>АКБ «ІНДУСТРИАЛБАНК» оголошує тендер на постачання наступних товарів:</w:t>
      </w:r>
    </w:p>
    <w:p w14:paraId="6935F132" w14:textId="524C3695" w:rsidR="0071158B" w:rsidRPr="000F0B4E" w:rsidRDefault="00EF5116" w:rsidP="00147E1F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EF5116">
        <w:rPr>
          <w:sz w:val="24"/>
          <w:lang w:val="uk-UA"/>
        </w:rPr>
        <w:t>Система зберігання даних</w:t>
      </w:r>
      <w:r w:rsidR="009155AC" w:rsidRPr="000F0B4E">
        <w:rPr>
          <w:sz w:val="24"/>
          <w:lang w:val="uk-UA"/>
        </w:rPr>
        <w:t>.</w:t>
      </w:r>
    </w:p>
    <w:p w14:paraId="55730A04" w14:textId="77777777" w:rsidR="0071158B" w:rsidRPr="00663E53" w:rsidRDefault="0071158B" w:rsidP="00663E53">
      <w:pPr>
        <w:jc w:val="both"/>
        <w:rPr>
          <w:sz w:val="24"/>
          <w:lang w:val="uk-UA"/>
        </w:rPr>
      </w:pPr>
      <w:r w:rsidRPr="00147E1F">
        <w:rPr>
          <w:sz w:val="24"/>
          <w:lang w:val="uk-UA"/>
        </w:rPr>
        <w:t xml:space="preserve">За результатами тендеру </w:t>
      </w:r>
      <w:r w:rsidRPr="00663E53">
        <w:rPr>
          <w:sz w:val="24"/>
          <w:lang w:val="uk-UA"/>
        </w:rPr>
        <w:t>між Банком та Переможцем укладається договір на умовах на умовах здійснення банком платежів в національній валюті України згідно з умовами договору. Інші умови правовідносин є предметом домовленостей між сторонами договору.</w:t>
      </w:r>
    </w:p>
    <w:p w14:paraId="45AE0263" w14:textId="77777777" w:rsidR="00F4588F" w:rsidRDefault="0071158B" w:rsidP="00F4588F">
      <w:pPr>
        <w:pStyle w:val="a5"/>
        <w:shd w:val="clear" w:color="auto" w:fill="FFFFFF"/>
        <w:spacing w:before="0" w:beforeAutospacing="0" w:after="120" w:afterAutospacing="0" w:line="235" w:lineRule="atLeast"/>
        <w:ind w:firstLine="708"/>
        <w:rPr>
          <w:b/>
          <w:lang w:val="uk-UA"/>
        </w:rPr>
      </w:pPr>
      <w:r w:rsidRPr="00F4588F">
        <w:rPr>
          <w:b/>
          <w:lang w:val="uk-UA"/>
        </w:rPr>
        <w:t>Технічні вимоги до пропозицій, що враховують особливості та специфіку даного тендеру:</w:t>
      </w:r>
      <w:r w:rsidR="00663E53" w:rsidRPr="00F4588F">
        <w:rPr>
          <w:b/>
          <w:lang w:val="uk-UA"/>
        </w:rPr>
        <w:t xml:space="preserve"> </w:t>
      </w:r>
    </w:p>
    <w:p w14:paraId="3E275073" w14:textId="77777777" w:rsidR="000E697F" w:rsidRPr="000E697F" w:rsidRDefault="000E697F" w:rsidP="000E697F">
      <w:pPr>
        <w:spacing w:line="276" w:lineRule="auto"/>
        <w:ind w:left="502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E69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Технічні вимоги до системи зберігання даних</w:t>
      </w:r>
    </w:p>
    <w:p w14:paraId="054614C3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Виробник СЗД: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Hewlett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Packard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Enterprise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,  з можливістю встановлення до </w:t>
      </w:r>
      <w:r w:rsidRPr="00824A0E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24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 дисків</w:t>
      </w: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 у базовому корпусі.</w:t>
      </w:r>
    </w:p>
    <w:p w14:paraId="6C972D2B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Контроллери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: 2х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FC контролерів (</w:t>
      </w:r>
      <w:proofErr w:type="spellStart"/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dual-controller</w:t>
      </w:r>
      <w:proofErr w:type="spellEnd"/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)</w:t>
      </w: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  з підтримкою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відмовостійкості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.</w:t>
      </w:r>
    </w:p>
    <w:p w14:paraId="7EACAA87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Порти: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 16Gb </w:t>
      </w:r>
      <w:proofErr w:type="spellStart"/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Fibre</w:t>
      </w:r>
      <w:proofErr w:type="spellEnd"/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 </w:t>
      </w:r>
      <w:proofErr w:type="spellStart"/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Channel</w:t>
      </w:r>
      <w:proofErr w:type="spellEnd"/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 (мінімум 4 порти, по 2 на кожному контролері)</w:t>
      </w:r>
    </w:p>
    <w:p w14:paraId="4116EA10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824A0E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Інтерфейсні модулі: 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4 </w:t>
      </w:r>
      <w:r w:rsidRPr="00824A0E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сумісні 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оптичні SFP+ модулі (</w:t>
      </w: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типу 16Gb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Short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Wave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Fibre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Channel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SFP+) та кабелі для підключення 4 оптичні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патчкорди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LC/LC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Multi-mode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OM4 2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Fiber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 5m (у комплекті, від виробника)</w:t>
      </w:r>
    </w:p>
    <w:p w14:paraId="271E4CBE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Диски: не гірше ніж SAS 10K </w:t>
      </w:r>
      <w:proofErr w:type="spellStart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rpm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, SFF HDD, загальною ємністю не менше 14,4 ТБ (наприклад, 12 × 1,2 ТБ).</w:t>
      </w:r>
    </w:p>
    <w:p w14:paraId="5072E233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RAID</w:t>
      </w: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: 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0, 1, 5, 6, 10</w:t>
      </w: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.</w:t>
      </w:r>
    </w:p>
    <w:p w14:paraId="625C9BD0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Блоки </w:t>
      </w:r>
      <w:proofErr w:type="spellStart"/>
      <w:r w:rsidRPr="000E697F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живлення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: 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2 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блок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и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 живлення</w:t>
      </w: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, з можливістю «гарячої заміни»</w:t>
      </w:r>
    </w:p>
    <w:p w14:paraId="15D259E0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proofErr w:type="spellStart"/>
      <w:r w:rsidRPr="000E697F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Відмовостійкість</w:t>
      </w:r>
      <w:proofErr w:type="spellEnd"/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: можливість розширення (додавання дискових полиць, дисків) та заміну контролерів без перезавантаження системи та зупинки додатків.</w:t>
      </w:r>
    </w:p>
    <w:p w14:paraId="41CE9BA6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Гарантія: від виробника не менше 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3</w:t>
      </w:r>
      <w:r w:rsidRPr="00824A0E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6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 </w:t>
      </w:r>
      <w:r w:rsidRPr="00824A0E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місяців </w:t>
      </w:r>
      <w:r w:rsidRPr="000E697F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>NBD</w:t>
      </w:r>
      <w:r w:rsidRPr="00824A0E">
        <w:rPr>
          <w:rFonts w:asciiTheme="minorHAnsi" w:eastAsiaTheme="minorHAnsi" w:hAnsiTheme="minorHAnsi" w:cstheme="minorBidi"/>
          <w:b/>
          <w:bCs/>
          <w:szCs w:val="22"/>
          <w:lang w:val="uk-UA" w:eastAsia="en-US"/>
        </w:rPr>
        <w:t xml:space="preserve">, </w:t>
      </w: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всі комплектуючі СЗД повинні бути новими та від одного виробника</w:t>
      </w:r>
    </w:p>
    <w:p w14:paraId="2E360EC4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Інше: Постачальник повинен надати підтвердження наявності партнерського статусу з виробником обладнання, яке пропонується.</w:t>
      </w:r>
    </w:p>
    <w:p w14:paraId="6AE13869" w14:textId="77777777" w:rsidR="000E697F" w:rsidRPr="00B418D9" w:rsidRDefault="000E697F" w:rsidP="000E697F">
      <w:pPr>
        <w:pStyle w:val="a5"/>
        <w:spacing w:line="276" w:lineRule="auto"/>
        <w:ind w:left="-142"/>
        <w:contextualSpacing/>
        <w:jc w:val="both"/>
        <w:rPr>
          <w:sz w:val="28"/>
          <w:szCs w:val="28"/>
        </w:rPr>
      </w:pPr>
    </w:p>
    <w:p w14:paraId="5D3E11B9" w14:textId="77777777" w:rsidR="000E697F" w:rsidRPr="000E697F" w:rsidRDefault="000E697F" w:rsidP="000E697F">
      <w:pPr>
        <w:pStyle w:val="a5"/>
        <w:spacing w:line="276" w:lineRule="auto"/>
        <w:ind w:left="142"/>
        <w:contextualSpacing/>
        <w:jc w:val="both"/>
        <w:rPr>
          <w:b/>
          <w:lang w:val="uk-UA"/>
        </w:rPr>
      </w:pPr>
      <w:r w:rsidRPr="000E697F">
        <w:rPr>
          <w:b/>
          <w:lang w:val="uk-UA"/>
        </w:rPr>
        <w:t xml:space="preserve">Умови виконання робіт: </w:t>
      </w:r>
    </w:p>
    <w:p w14:paraId="313AD088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 xml:space="preserve">У цінову пропозицію має бути включена вартість впровадження в існуючу інфраструктуру Замовника (встановлення, підключення, налаштування, оновлення прошивок, розбивка простору, підключення серверів, тощо ). Детальний опис робіт може бути наданий за додатковим запитом. </w:t>
      </w:r>
    </w:p>
    <w:p w14:paraId="2635323E" w14:textId="77777777" w:rsidR="000E697F" w:rsidRPr="000E697F" w:rsidRDefault="000E697F" w:rsidP="000E697F">
      <w:pPr>
        <w:pStyle w:val="a5"/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asciiTheme="minorHAnsi" w:eastAsiaTheme="minorHAnsi" w:hAnsiTheme="minorHAnsi" w:cstheme="minorBidi"/>
          <w:szCs w:val="22"/>
          <w:lang w:val="uk-UA" w:eastAsia="en-US"/>
        </w:rPr>
      </w:pPr>
      <w:r w:rsidRPr="000E697F">
        <w:rPr>
          <w:rFonts w:asciiTheme="minorHAnsi" w:eastAsiaTheme="minorHAnsi" w:hAnsiTheme="minorHAnsi" w:cstheme="minorBidi"/>
          <w:szCs w:val="22"/>
          <w:lang w:val="uk-UA" w:eastAsia="en-US"/>
        </w:rPr>
        <w:t>Роботу потрібно виконувати за вимогою Замовника. Допускається запит на виконання частинами і можуть бути розтягнуті у часі до 6 місяців. Роботи з конфігурування оплачуються, коли виконаний весь об'єм робіт.</w:t>
      </w:r>
    </w:p>
    <w:p w14:paraId="156BC834" w14:textId="77777777" w:rsidR="0071158B" w:rsidRPr="00663E53" w:rsidRDefault="0071158B" w:rsidP="00F4588F">
      <w:pPr>
        <w:ind w:firstLine="708"/>
        <w:jc w:val="both"/>
        <w:rPr>
          <w:sz w:val="24"/>
          <w:lang w:val="uk-UA"/>
        </w:rPr>
      </w:pPr>
      <w:r w:rsidRPr="00663E53">
        <w:rPr>
          <w:b/>
          <w:sz w:val="24"/>
          <w:lang w:val="uk-UA"/>
        </w:rPr>
        <w:t xml:space="preserve">Запит про наявність відповідних ліцензій та інших даних для проведення тендера: </w:t>
      </w:r>
      <w:r w:rsidRPr="00663E53">
        <w:rPr>
          <w:sz w:val="24"/>
          <w:lang w:val="uk-UA"/>
        </w:rPr>
        <w:t>повідомити Банк письмово та надати копії дозвільних документів, передбачених законодавством для проведення даного виду діяльності (постачання Товарів), у тому числі відповідних сертифікатів.</w:t>
      </w:r>
    </w:p>
    <w:p w14:paraId="62EC1F65" w14:textId="77777777" w:rsidR="0071158B" w:rsidRPr="00663E53" w:rsidRDefault="0071158B" w:rsidP="00F4588F">
      <w:pPr>
        <w:ind w:firstLine="708"/>
        <w:jc w:val="both"/>
        <w:rPr>
          <w:sz w:val="24"/>
          <w:lang w:val="uk-UA"/>
        </w:rPr>
      </w:pPr>
      <w:r w:rsidRPr="00663E53">
        <w:rPr>
          <w:b/>
          <w:sz w:val="24"/>
          <w:lang w:val="uk-UA"/>
        </w:rPr>
        <w:lastRenderedPageBreak/>
        <w:t xml:space="preserve">Термін і форма подання тендерних пропозицій: </w:t>
      </w:r>
      <w:r w:rsidRPr="00663E53">
        <w:rPr>
          <w:sz w:val="24"/>
          <w:lang w:val="uk-UA"/>
        </w:rPr>
        <w:t xml:space="preserve">строк подання тендерних пропозицій складає </w:t>
      </w:r>
      <w:r w:rsidR="00353C4C" w:rsidRPr="00353C4C">
        <w:rPr>
          <w:sz w:val="24"/>
        </w:rPr>
        <w:t>5</w:t>
      </w:r>
      <w:r w:rsidRPr="00663E53">
        <w:rPr>
          <w:sz w:val="24"/>
          <w:lang w:val="uk-UA"/>
        </w:rPr>
        <w:t xml:space="preserve"> (</w:t>
      </w:r>
      <w:r w:rsidR="00353C4C">
        <w:rPr>
          <w:sz w:val="24"/>
          <w:lang w:val="uk-UA"/>
        </w:rPr>
        <w:t>п’ять</w:t>
      </w:r>
      <w:r w:rsidRPr="00663E53">
        <w:rPr>
          <w:sz w:val="24"/>
          <w:lang w:val="uk-UA"/>
        </w:rPr>
        <w:t>) робочих дні</w:t>
      </w:r>
      <w:r w:rsidR="001A02F1">
        <w:rPr>
          <w:sz w:val="24"/>
          <w:lang w:val="uk-UA"/>
        </w:rPr>
        <w:t>в</w:t>
      </w:r>
      <w:r w:rsidRPr="00663E53">
        <w:rPr>
          <w:sz w:val="24"/>
          <w:lang w:val="uk-UA"/>
        </w:rPr>
        <w:t xml:space="preserve"> з дати одержання тендерного завдання.</w:t>
      </w:r>
    </w:p>
    <w:p w14:paraId="177D61DA" w14:textId="77777777" w:rsidR="0071158B" w:rsidRPr="00663E53" w:rsidRDefault="0071158B" w:rsidP="00F4588F">
      <w:pPr>
        <w:ind w:firstLine="708"/>
        <w:jc w:val="both"/>
        <w:rPr>
          <w:sz w:val="24"/>
          <w:lang w:val="uk-UA"/>
        </w:rPr>
      </w:pPr>
      <w:r w:rsidRPr="00663E53">
        <w:rPr>
          <w:b/>
          <w:sz w:val="24"/>
          <w:lang w:val="uk-UA"/>
        </w:rPr>
        <w:t xml:space="preserve">Критерії оцінки пропозицій: </w:t>
      </w:r>
      <w:r w:rsidRPr="00663E53">
        <w:rPr>
          <w:sz w:val="24"/>
          <w:lang w:val="uk-UA"/>
        </w:rPr>
        <w:t>перевага надається пропозиціям, які відповідають технічному завданню з найкращим співвідношенням ціни та якості.</w:t>
      </w:r>
    </w:p>
    <w:p w14:paraId="7C4EA66C" w14:textId="77777777" w:rsidR="00F4588F" w:rsidRDefault="0071158B" w:rsidP="00F4588F">
      <w:pPr>
        <w:ind w:firstLine="708"/>
        <w:jc w:val="both"/>
        <w:rPr>
          <w:sz w:val="24"/>
          <w:lang w:val="uk-UA"/>
        </w:rPr>
      </w:pPr>
      <w:r w:rsidRPr="00663E53">
        <w:rPr>
          <w:b/>
          <w:sz w:val="24"/>
          <w:lang w:val="uk-UA"/>
        </w:rPr>
        <w:t>Відповідальні особи та контактні реквізити:</w:t>
      </w:r>
      <w:r w:rsidRPr="00663E53">
        <w:rPr>
          <w:sz w:val="24"/>
          <w:lang w:val="uk-UA"/>
        </w:rPr>
        <w:t xml:space="preserve"> </w:t>
      </w:r>
    </w:p>
    <w:p w14:paraId="5CEAFD4B" w14:textId="08A9FCA9" w:rsidR="00F4588F" w:rsidRDefault="000F0B4E" w:rsidP="00663E53">
      <w:pPr>
        <w:jc w:val="both"/>
        <w:rPr>
          <w:sz w:val="24"/>
          <w:lang w:val="uk-UA"/>
        </w:rPr>
      </w:pPr>
      <w:proofErr w:type="spellStart"/>
      <w:r w:rsidRPr="000F0B4E">
        <w:rPr>
          <w:lang w:val="uk-UA"/>
        </w:rPr>
        <w:t>Павлюченко</w:t>
      </w:r>
      <w:proofErr w:type="spellEnd"/>
      <w:r w:rsidRPr="000F0B4E">
        <w:rPr>
          <w:lang w:val="uk-UA"/>
        </w:rPr>
        <w:t xml:space="preserve"> Юрій Анатол</w:t>
      </w:r>
      <w:r>
        <w:rPr>
          <w:lang w:val="uk-UA"/>
        </w:rPr>
        <w:t>ійович</w:t>
      </w:r>
      <w:r w:rsidR="0071158B" w:rsidRPr="00663E53">
        <w:rPr>
          <w:sz w:val="24"/>
          <w:lang w:val="uk-UA"/>
        </w:rPr>
        <w:t xml:space="preserve">, </w:t>
      </w:r>
    </w:p>
    <w:p w14:paraId="3DBFF86B" w14:textId="77777777" w:rsidR="00F4588F" w:rsidRDefault="0071158B" w:rsidP="00663E53">
      <w:pPr>
        <w:jc w:val="both"/>
        <w:rPr>
          <w:sz w:val="24"/>
          <w:lang w:val="uk-UA"/>
        </w:rPr>
      </w:pPr>
      <w:r w:rsidRPr="00663E53">
        <w:rPr>
          <w:sz w:val="24"/>
          <w:lang w:val="uk-UA"/>
        </w:rPr>
        <w:t>т. 09</w:t>
      </w:r>
      <w:r w:rsidR="000F0B4E">
        <w:rPr>
          <w:sz w:val="24"/>
          <w:lang w:val="uk-UA"/>
        </w:rPr>
        <w:t>5</w:t>
      </w:r>
      <w:r w:rsidR="00663E53">
        <w:rPr>
          <w:sz w:val="24"/>
          <w:lang w:val="uk-UA"/>
        </w:rPr>
        <w:t>-</w:t>
      </w:r>
      <w:r w:rsidR="000F0B4E">
        <w:rPr>
          <w:sz w:val="24"/>
          <w:lang w:val="uk-UA"/>
        </w:rPr>
        <w:t>559</w:t>
      </w:r>
      <w:r w:rsidR="00663E53">
        <w:rPr>
          <w:sz w:val="24"/>
          <w:lang w:val="uk-UA"/>
        </w:rPr>
        <w:t>-</w:t>
      </w:r>
      <w:r w:rsidR="000F0B4E">
        <w:rPr>
          <w:sz w:val="24"/>
          <w:lang w:val="uk-UA"/>
        </w:rPr>
        <w:t>28</w:t>
      </w:r>
      <w:r w:rsidR="00663E53">
        <w:rPr>
          <w:sz w:val="24"/>
          <w:lang w:val="uk-UA"/>
        </w:rPr>
        <w:t>-</w:t>
      </w:r>
      <w:r w:rsidR="000F0B4E">
        <w:rPr>
          <w:sz w:val="24"/>
          <w:lang w:val="uk-UA"/>
        </w:rPr>
        <w:t>79</w:t>
      </w:r>
      <w:r w:rsidRPr="00663E53">
        <w:rPr>
          <w:sz w:val="24"/>
          <w:lang w:val="uk-UA"/>
        </w:rPr>
        <w:t xml:space="preserve">, </w:t>
      </w:r>
    </w:p>
    <w:p w14:paraId="401F9AD9" w14:textId="3E0415AA" w:rsidR="00663E53" w:rsidRPr="00663E53" w:rsidRDefault="0071158B" w:rsidP="00663E53">
      <w:pPr>
        <w:jc w:val="both"/>
        <w:rPr>
          <w:b/>
          <w:sz w:val="24"/>
          <w:lang w:val="uk-UA"/>
        </w:rPr>
      </w:pPr>
      <w:r w:rsidRPr="00663E53">
        <w:rPr>
          <w:sz w:val="24"/>
          <w:lang w:val="uk-UA"/>
        </w:rPr>
        <w:t>електронна адреса</w:t>
      </w:r>
      <w:r w:rsidR="00147E1F">
        <w:rPr>
          <w:sz w:val="24"/>
          <w:lang w:val="uk-UA"/>
        </w:rPr>
        <w:t>:</w:t>
      </w:r>
      <w:r w:rsidR="000F0B4E">
        <w:rPr>
          <w:lang w:val="uk-UA"/>
        </w:rPr>
        <w:t xml:space="preserve"> pyura@industrialbank.ua</w:t>
      </w:r>
      <w:r w:rsidR="00663E53" w:rsidRPr="00663E53">
        <w:rPr>
          <w:sz w:val="24"/>
          <w:lang w:val="uk-UA"/>
        </w:rPr>
        <w:t>.</w:t>
      </w:r>
    </w:p>
    <w:p w14:paraId="17844895" w14:textId="77777777" w:rsidR="00663E53" w:rsidRPr="00663E53" w:rsidRDefault="00663E53" w:rsidP="00F4588F">
      <w:pPr>
        <w:ind w:firstLine="708"/>
        <w:jc w:val="both"/>
        <w:rPr>
          <w:sz w:val="24"/>
          <w:lang w:val="uk-UA"/>
        </w:rPr>
      </w:pPr>
      <w:r w:rsidRPr="00663E53">
        <w:rPr>
          <w:sz w:val="24"/>
          <w:lang w:val="uk-UA"/>
        </w:rPr>
        <w:t>У випадку зацікавленості у співпраці з нашим Банком, просимо Вас направити позитивну відповідь на адресу відповідальної особи з метою отримання переліку тендерної документації, форми тендерної пропозиції та заявки на участь у тендері, Правила участі в тендері.</w:t>
      </w:r>
    </w:p>
    <w:p w14:paraId="02E633BC" w14:textId="77777777" w:rsidR="00663E53" w:rsidRPr="00663E53" w:rsidRDefault="00663E53" w:rsidP="00F4588F">
      <w:pPr>
        <w:ind w:firstLine="708"/>
        <w:rPr>
          <w:i/>
          <w:sz w:val="24"/>
          <w:lang w:val="uk-UA"/>
        </w:rPr>
      </w:pPr>
      <w:r w:rsidRPr="00663E53">
        <w:rPr>
          <w:i/>
          <w:sz w:val="24"/>
          <w:lang w:val="uk-UA"/>
        </w:rPr>
        <w:t>З повагою та надією на взаємовигідну співпрацю,</w:t>
      </w:r>
    </w:p>
    <w:p w14:paraId="545B590F" w14:textId="705384ED" w:rsidR="0071158B" w:rsidRPr="00353C4C" w:rsidRDefault="00663E53" w:rsidP="00F4588F">
      <w:pPr>
        <w:jc w:val="center"/>
        <w:rPr>
          <w:sz w:val="24"/>
          <w:lang w:val="uk-UA"/>
        </w:rPr>
      </w:pPr>
      <w:r w:rsidRPr="00663E53">
        <w:rPr>
          <w:sz w:val="24"/>
          <w:lang w:val="uk-UA"/>
        </w:rPr>
        <w:t xml:space="preserve">Начальник Управління </w:t>
      </w:r>
      <w:proofErr w:type="spellStart"/>
      <w:r w:rsidRPr="00663E53">
        <w:rPr>
          <w:sz w:val="24"/>
          <w:lang w:val="uk-UA"/>
        </w:rPr>
        <w:t>процесингу</w:t>
      </w:r>
      <w:proofErr w:type="spellEnd"/>
      <w:r w:rsidRPr="00663E53">
        <w:rPr>
          <w:sz w:val="24"/>
          <w:lang w:val="uk-UA"/>
        </w:rPr>
        <w:tab/>
      </w:r>
      <w:r w:rsidRPr="00663E53">
        <w:rPr>
          <w:sz w:val="24"/>
          <w:lang w:val="uk-UA"/>
        </w:rPr>
        <w:tab/>
      </w:r>
      <w:r w:rsidRPr="00663E53">
        <w:rPr>
          <w:sz w:val="24"/>
          <w:lang w:val="uk-UA"/>
        </w:rPr>
        <w:tab/>
      </w:r>
      <w:r w:rsidRPr="00663E53">
        <w:rPr>
          <w:sz w:val="24"/>
          <w:lang w:val="uk-UA"/>
        </w:rPr>
        <w:tab/>
        <w:t xml:space="preserve">Ю.А. </w:t>
      </w:r>
      <w:proofErr w:type="spellStart"/>
      <w:r w:rsidRPr="00663E53">
        <w:rPr>
          <w:sz w:val="24"/>
          <w:lang w:val="uk-UA"/>
        </w:rPr>
        <w:t>Павлюченко</w:t>
      </w:r>
      <w:proofErr w:type="spellEnd"/>
    </w:p>
    <w:sectPr w:rsidR="0071158B" w:rsidRPr="00353C4C" w:rsidSect="00663E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924"/>
    <w:multiLevelType w:val="hybridMultilevel"/>
    <w:tmpl w:val="05E8F06E"/>
    <w:lvl w:ilvl="0" w:tplc="0B7E60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CB4ADD"/>
    <w:multiLevelType w:val="hybridMultilevel"/>
    <w:tmpl w:val="882CA6E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3E0E28"/>
    <w:multiLevelType w:val="hybridMultilevel"/>
    <w:tmpl w:val="994A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3D4A"/>
    <w:multiLevelType w:val="hybridMultilevel"/>
    <w:tmpl w:val="D4EC07AE"/>
    <w:lvl w:ilvl="0" w:tplc="31F29D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442112887">
    <w:abstractNumId w:val="2"/>
  </w:num>
  <w:num w:numId="2" w16cid:durableId="1652365221">
    <w:abstractNumId w:val="0"/>
  </w:num>
  <w:num w:numId="3" w16cid:durableId="2014407872">
    <w:abstractNumId w:val="1"/>
  </w:num>
  <w:num w:numId="4" w16cid:durableId="81507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6E"/>
    <w:rsid w:val="000E697F"/>
    <w:rsid w:val="000E7ED5"/>
    <w:rsid w:val="000F0B4E"/>
    <w:rsid w:val="00147E1F"/>
    <w:rsid w:val="001A02F1"/>
    <w:rsid w:val="00353766"/>
    <w:rsid w:val="00353C4C"/>
    <w:rsid w:val="005B1ED3"/>
    <w:rsid w:val="00663E53"/>
    <w:rsid w:val="006E7BEA"/>
    <w:rsid w:val="0071158B"/>
    <w:rsid w:val="007F1367"/>
    <w:rsid w:val="00824A0E"/>
    <w:rsid w:val="009155AC"/>
    <w:rsid w:val="00B90A55"/>
    <w:rsid w:val="00B97666"/>
    <w:rsid w:val="00BF1D6E"/>
    <w:rsid w:val="00CD6161"/>
    <w:rsid w:val="00E43492"/>
    <w:rsid w:val="00EF5116"/>
    <w:rsid w:val="00F4588F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E842"/>
  <w15:chartTrackingRefBased/>
  <w15:docId w15:val="{46211D25-61C5-4C5B-AFB4-963614AE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E5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4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E697F"/>
    <w:rPr>
      <w:b/>
      <w:bCs/>
    </w:rPr>
  </w:style>
  <w:style w:type="character" w:customStyle="1" w:styleId="apple-converted-space">
    <w:name w:val="apple-converted-space"/>
    <w:basedOn w:val="a0"/>
    <w:rsid w:val="000E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Д. Л.</dc:creator>
  <cp:keywords/>
  <dc:description/>
  <cp:lastModifiedBy>Пользователь Windows</cp:lastModifiedBy>
  <cp:revision>2</cp:revision>
  <dcterms:created xsi:type="dcterms:W3CDTF">2025-09-29T13:06:00Z</dcterms:created>
  <dcterms:modified xsi:type="dcterms:W3CDTF">2025-09-29T13:06:00Z</dcterms:modified>
</cp:coreProperties>
</file>