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686" w:rsidRDefault="00F33686" w:rsidP="008F09AC">
      <w:pPr>
        <w:spacing w:line="360" w:lineRule="auto"/>
        <w:jc w:val="center"/>
        <w:rPr>
          <w:b/>
          <w:sz w:val="24"/>
          <w:szCs w:val="24"/>
          <w:lang w:val="uk-UA"/>
        </w:rPr>
      </w:pPr>
    </w:p>
    <w:p w:rsidR="008F09AC" w:rsidRPr="00F33686" w:rsidRDefault="008F09AC" w:rsidP="008F09AC">
      <w:pPr>
        <w:spacing w:line="360" w:lineRule="auto"/>
        <w:jc w:val="center"/>
        <w:rPr>
          <w:b/>
          <w:sz w:val="24"/>
          <w:szCs w:val="24"/>
          <w:lang w:val="uk-UA"/>
        </w:rPr>
      </w:pPr>
      <w:r w:rsidRPr="005B3464">
        <w:rPr>
          <w:b/>
          <w:sz w:val="24"/>
          <w:szCs w:val="24"/>
          <w:lang w:val="uk-UA"/>
        </w:rPr>
        <w:t>Інформація тор</w:t>
      </w:r>
      <w:r>
        <w:rPr>
          <w:b/>
          <w:sz w:val="24"/>
          <w:szCs w:val="24"/>
          <w:lang w:val="uk-UA"/>
        </w:rPr>
        <w:t>говця фінансовими інструментами</w:t>
      </w:r>
    </w:p>
    <w:p w:rsidR="008F09AC" w:rsidRPr="005B3464" w:rsidRDefault="008F09AC" w:rsidP="008F09AC">
      <w:pPr>
        <w:spacing w:line="360" w:lineRule="auto"/>
        <w:ind w:firstLine="708"/>
        <w:jc w:val="both"/>
        <w:rPr>
          <w:sz w:val="24"/>
          <w:szCs w:val="24"/>
          <w:lang w:val="uk-UA"/>
        </w:rPr>
      </w:pPr>
      <w:r>
        <w:rPr>
          <w:sz w:val="24"/>
          <w:szCs w:val="24"/>
          <w:lang w:val="uk-UA"/>
        </w:rPr>
        <w:t xml:space="preserve">АКБ </w:t>
      </w:r>
      <w:r w:rsidRPr="00A109D9">
        <w:rPr>
          <w:sz w:val="24"/>
          <w:szCs w:val="24"/>
          <w:lang w:val="uk-UA"/>
        </w:rPr>
        <w:t xml:space="preserve">«ІНДУСТРІАЛБАНК» </w:t>
      </w:r>
      <w:r w:rsidRPr="005B3464">
        <w:rPr>
          <w:sz w:val="24"/>
          <w:szCs w:val="24"/>
          <w:lang w:val="uk-UA"/>
        </w:rPr>
        <w:t xml:space="preserve"> (надалі – Торговець) надає фінансові послуги на ринк</w:t>
      </w:r>
      <w:r w:rsidR="00967528">
        <w:rPr>
          <w:sz w:val="24"/>
          <w:szCs w:val="24"/>
          <w:lang w:val="uk-UA"/>
        </w:rPr>
        <w:t>ах капіталу</w:t>
      </w:r>
      <w:r w:rsidRPr="005B3464">
        <w:rPr>
          <w:sz w:val="24"/>
          <w:szCs w:val="24"/>
          <w:lang w:val="uk-UA"/>
        </w:rPr>
        <w:t xml:space="preserve"> на підставі ліцензій Національної комісії з цінни</w:t>
      </w:r>
      <w:r>
        <w:rPr>
          <w:sz w:val="24"/>
          <w:szCs w:val="24"/>
          <w:lang w:val="uk-UA"/>
        </w:rPr>
        <w:t>х паперів та фондового ринку на</w:t>
      </w:r>
      <w:r w:rsidRPr="00114F34">
        <w:rPr>
          <w:sz w:val="24"/>
          <w:szCs w:val="24"/>
          <w:lang w:val="uk-UA"/>
        </w:rPr>
        <w:t xml:space="preserve"> професійну діяльність на ринках капіталу з торгівлі фінансовими інструментами, що передбачає</w:t>
      </w:r>
      <w:r w:rsidRPr="005B3464">
        <w:rPr>
          <w:sz w:val="24"/>
          <w:szCs w:val="24"/>
          <w:lang w:val="uk-UA"/>
        </w:rPr>
        <w:t>: - дилерськ</w:t>
      </w:r>
      <w:r>
        <w:rPr>
          <w:sz w:val="24"/>
          <w:szCs w:val="24"/>
          <w:lang w:val="uk-UA"/>
        </w:rPr>
        <w:t>у</w:t>
      </w:r>
      <w:r w:rsidRPr="005B3464">
        <w:rPr>
          <w:sz w:val="24"/>
          <w:szCs w:val="24"/>
          <w:lang w:val="uk-UA"/>
        </w:rPr>
        <w:t xml:space="preserve"> діяльність: </w:t>
      </w:r>
      <w:r>
        <w:rPr>
          <w:sz w:val="24"/>
          <w:szCs w:val="24"/>
          <w:lang w:val="uk-UA"/>
        </w:rPr>
        <w:t>л</w:t>
      </w:r>
      <w:r w:rsidRPr="00DB7A0B">
        <w:rPr>
          <w:sz w:val="24"/>
          <w:szCs w:val="24"/>
          <w:lang w:val="uk-UA"/>
        </w:rPr>
        <w:t xml:space="preserve">іцензія АЕ185079, </w:t>
      </w:r>
      <w:r>
        <w:rPr>
          <w:sz w:val="24"/>
          <w:szCs w:val="24"/>
          <w:lang w:val="uk-UA"/>
        </w:rPr>
        <w:t>«</w:t>
      </w:r>
      <w:r w:rsidRPr="00DB7A0B">
        <w:rPr>
          <w:sz w:val="24"/>
          <w:szCs w:val="24"/>
          <w:lang w:val="uk-UA"/>
        </w:rPr>
        <w:t>17</w:t>
      </w:r>
      <w:r>
        <w:rPr>
          <w:sz w:val="24"/>
          <w:szCs w:val="24"/>
          <w:lang w:val="uk-UA"/>
        </w:rPr>
        <w:t xml:space="preserve">» жовтня </w:t>
      </w:r>
      <w:r w:rsidRPr="00DB7A0B">
        <w:rPr>
          <w:sz w:val="24"/>
          <w:szCs w:val="24"/>
          <w:lang w:val="uk-UA"/>
        </w:rPr>
        <w:t>2012</w:t>
      </w:r>
      <w:r>
        <w:rPr>
          <w:sz w:val="24"/>
          <w:szCs w:val="24"/>
          <w:lang w:val="uk-UA"/>
        </w:rPr>
        <w:t xml:space="preserve"> – з «17</w:t>
      </w:r>
      <w:r w:rsidRPr="005B3464">
        <w:rPr>
          <w:sz w:val="24"/>
          <w:szCs w:val="24"/>
          <w:lang w:val="uk-UA"/>
        </w:rPr>
        <w:t xml:space="preserve">» жовтня 2012 року необмежений; - </w:t>
      </w:r>
      <w:proofErr w:type="spellStart"/>
      <w:r w:rsidRPr="00114F34">
        <w:rPr>
          <w:sz w:val="24"/>
          <w:szCs w:val="24"/>
          <w:lang w:val="uk-UA"/>
        </w:rPr>
        <w:t>суббр</w:t>
      </w:r>
      <w:r>
        <w:rPr>
          <w:sz w:val="24"/>
          <w:szCs w:val="24"/>
          <w:lang w:val="uk-UA"/>
        </w:rPr>
        <w:t>окерську</w:t>
      </w:r>
      <w:proofErr w:type="spellEnd"/>
      <w:r>
        <w:rPr>
          <w:sz w:val="24"/>
          <w:szCs w:val="24"/>
          <w:lang w:val="uk-UA"/>
        </w:rPr>
        <w:t xml:space="preserve"> діяльність: рішення 420 від 01.07.2021; - </w:t>
      </w:r>
      <w:r w:rsidRPr="00114F34">
        <w:rPr>
          <w:sz w:val="24"/>
          <w:szCs w:val="24"/>
          <w:lang w:val="uk-UA"/>
        </w:rPr>
        <w:t>брокерську діяльність</w:t>
      </w:r>
      <w:r w:rsidRPr="005B3464">
        <w:rPr>
          <w:sz w:val="24"/>
          <w:szCs w:val="24"/>
          <w:lang w:val="uk-UA"/>
        </w:rPr>
        <w:t xml:space="preserve">: </w:t>
      </w:r>
      <w:r>
        <w:rPr>
          <w:sz w:val="24"/>
          <w:szCs w:val="24"/>
          <w:lang w:val="uk-UA"/>
        </w:rPr>
        <w:t>л</w:t>
      </w:r>
      <w:r w:rsidRPr="00DB7A0B">
        <w:rPr>
          <w:sz w:val="24"/>
          <w:szCs w:val="24"/>
          <w:lang w:val="uk-UA"/>
        </w:rPr>
        <w:t xml:space="preserve">іцензія АЕ185078, </w:t>
      </w:r>
      <w:r>
        <w:rPr>
          <w:sz w:val="24"/>
          <w:szCs w:val="24"/>
          <w:lang w:val="uk-UA"/>
        </w:rPr>
        <w:t>«</w:t>
      </w:r>
      <w:r w:rsidRPr="00DB7A0B">
        <w:rPr>
          <w:sz w:val="24"/>
          <w:szCs w:val="24"/>
          <w:lang w:val="uk-UA"/>
        </w:rPr>
        <w:t>17</w:t>
      </w:r>
      <w:r>
        <w:rPr>
          <w:sz w:val="24"/>
          <w:szCs w:val="24"/>
          <w:lang w:val="uk-UA"/>
        </w:rPr>
        <w:t xml:space="preserve">» жовтня </w:t>
      </w:r>
      <w:r w:rsidRPr="00DB7A0B">
        <w:rPr>
          <w:sz w:val="24"/>
          <w:szCs w:val="24"/>
          <w:lang w:val="uk-UA"/>
        </w:rPr>
        <w:t>2012</w:t>
      </w:r>
      <w:r>
        <w:rPr>
          <w:sz w:val="24"/>
          <w:szCs w:val="24"/>
          <w:lang w:val="uk-UA"/>
        </w:rPr>
        <w:t xml:space="preserve"> – з «17</w:t>
      </w:r>
      <w:r w:rsidRPr="005B3464">
        <w:rPr>
          <w:sz w:val="24"/>
          <w:szCs w:val="24"/>
          <w:lang w:val="uk-UA"/>
        </w:rPr>
        <w:t>» жовтня 2012 року необмежений</w:t>
      </w:r>
      <w:r w:rsidRPr="00DB7A0B">
        <w:rPr>
          <w:sz w:val="24"/>
          <w:szCs w:val="24"/>
          <w:lang w:val="uk-UA"/>
        </w:rPr>
        <w:t xml:space="preserve">. </w:t>
      </w:r>
      <w:r>
        <w:rPr>
          <w:sz w:val="24"/>
          <w:szCs w:val="24"/>
          <w:lang w:val="uk-UA"/>
        </w:rPr>
        <w:t>Рішення 410, 30.07.2019. про професійну</w:t>
      </w:r>
      <w:r w:rsidRPr="00DB7A0B">
        <w:rPr>
          <w:sz w:val="24"/>
          <w:szCs w:val="24"/>
          <w:lang w:val="uk-UA"/>
        </w:rPr>
        <w:t xml:space="preserve"> діяльність на ринках капіталу з торгівлі фінансовими інструментами, що передбачає діяльність з розміщення без надання гарантії.</w:t>
      </w:r>
      <w:r>
        <w:rPr>
          <w:sz w:val="24"/>
          <w:szCs w:val="24"/>
          <w:lang w:val="uk-UA"/>
        </w:rPr>
        <w:tab/>
      </w:r>
    </w:p>
    <w:p w:rsidR="008F09AC" w:rsidRPr="005B3464" w:rsidRDefault="008F09AC" w:rsidP="008F09AC">
      <w:pPr>
        <w:spacing w:line="360" w:lineRule="auto"/>
        <w:ind w:firstLine="360"/>
        <w:jc w:val="both"/>
        <w:rPr>
          <w:sz w:val="24"/>
          <w:szCs w:val="24"/>
          <w:lang w:val="uk-UA"/>
        </w:rPr>
      </w:pPr>
      <w:r w:rsidRPr="005B3464">
        <w:rPr>
          <w:sz w:val="24"/>
          <w:szCs w:val="24"/>
          <w:lang w:val="uk-UA"/>
        </w:rPr>
        <w:t xml:space="preserve">Торговець здійснює професійну </w:t>
      </w:r>
      <w:r w:rsidRPr="00114F34">
        <w:rPr>
          <w:sz w:val="24"/>
          <w:szCs w:val="24"/>
          <w:lang w:val="uk-UA"/>
        </w:rPr>
        <w:t xml:space="preserve">діяльність на ринках капіталу - торгівля фінансовими інструментами </w:t>
      </w:r>
      <w:r w:rsidRPr="005B3464">
        <w:rPr>
          <w:sz w:val="24"/>
          <w:szCs w:val="24"/>
          <w:lang w:val="uk-UA"/>
        </w:rPr>
        <w:t>на підставі ліцензій Національної комісії з цінних паперів та фондового ринку та у відповідності до чинного законодавства України, а саме Цивільного та Податкового кодексів, Закону України «Про господарські товариства», «Про акціонерні товариства», «Про ринки капіталу та організовані товарні ринки», «Про державне регулювання ринк</w:t>
      </w:r>
      <w:r w:rsidR="0057337D">
        <w:rPr>
          <w:sz w:val="24"/>
          <w:szCs w:val="24"/>
          <w:lang w:val="uk-UA"/>
        </w:rPr>
        <w:t>ів капіталу та організованих товарних ринків</w:t>
      </w:r>
      <w:r w:rsidRPr="005B3464">
        <w:rPr>
          <w:sz w:val="24"/>
          <w:szCs w:val="24"/>
          <w:lang w:val="uk-UA"/>
        </w:rPr>
        <w:t>», «Про фінансові послуги та фінансов</w:t>
      </w:r>
      <w:r w:rsidR="0057337D">
        <w:rPr>
          <w:sz w:val="24"/>
          <w:szCs w:val="24"/>
          <w:lang w:val="uk-UA"/>
        </w:rPr>
        <w:t>і компанії</w:t>
      </w:r>
      <w:r w:rsidRPr="005B3464">
        <w:rPr>
          <w:sz w:val="24"/>
          <w:szCs w:val="24"/>
          <w:lang w:val="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«Про електронні документи та електронний документообіг», «Про електронн</w:t>
      </w:r>
      <w:r w:rsidR="0057337D">
        <w:rPr>
          <w:sz w:val="24"/>
          <w:szCs w:val="24"/>
          <w:lang w:val="uk-UA"/>
        </w:rPr>
        <w:t>у ідентифікацію та електронні довірчі послуги</w:t>
      </w:r>
      <w:r w:rsidRPr="005B3464">
        <w:rPr>
          <w:sz w:val="24"/>
          <w:szCs w:val="24"/>
          <w:lang w:val="uk-UA"/>
        </w:rPr>
        <w:t>»,  нормативно-правових актів Національної комісії з цінних паперів та фондового ринку, а також правил (стандартів) провадження професійної діяльності на ринк</w:t>
      </w:r>
      <w:r w:rsidR="00453658">
        <w:rPr>
          <w:sz w:val="24"/>
          <w:szCs w:val="24"/>
          <w:lang w:val="uk-UA"/>
        </w:rPr>
        <w:t>ах капіталу</w:t>
      </w:r>
      <w:r w:rsidRPr="005B3464">
        <w:rPr>
          <w:sz w:val="24"/>
          <w:szCs w:val="24"/>
          <w:lang w:val="uk-UA"/>
        </w:rPr>
        <w:t>, затверджених об’єднанням/</w:t>
      </w:r>
      <w:proofErr w:type="spellStart"/>
      <w:r w:rsidRPr="005B3464">
        <w:rPr>
          <w:sz w:val="24"/>
          <w:szCs w:val="24"/>
          <w:lang w:val="uk-UA"/>
        </w:rPr>
        <w:t>саморегулівною</w:t>
      </w:r>
      <w:proofErr w:type="spellEnd"/>
      <w:r w:rsidRPr="005B3464">
        <w:rPr>
          <w:sz w:val="24"/>
          <w:szCs w:val="24"/>
          <w:lang w:val="uk-UA"/>
        </w:rPr>
        <w:t xml:space="preserve"> організацією професійних учасників ринк</w:t>
      </w:r>
      <w:r w:rsidR="00453658">
        <w:rPr>
          <w:sz w:val="24"/>
          <w:szCs w:val="24"/>
          <w:lang w:val="uk-UA"/>
        </w:rPr>
        <w:t>ів капіталу</w:t>
      </w:r>
      <w:r w:rsidRPr="005B3464">
        <w:rPr>
          <w:sz w:val="24"/>
          <w:szCs w:val="24"/>
          <w:lang w:val="uk-UA"/>
        </w:rPr>
        <w:t>, членом якої є Торговець, цього Положення, інших внутрішніх документів Торговця.</w:t>
      </w:r>
    </w:p>
    <w:p w:rsidR="008F09AC" w:rsidRPr="005B3464" w:rsidRDefault="008F09AC" w:rsidP="008F09AC">
      <w:pPr>
        <w:spacing w:line="360" w:lineRule="auto"/>
        <w:ind w:firstLine="708"/>
        <w:jc w:val="both"/>
        <w:rPr>
          <w:sz w:val="24"/>
          <w:szCs w:val="24"/>
          <w:lang w:val="uk-UA"/>
        </w:rPr>
      </w:pPr>
      <w:r w:rsidRPr="005B3464">
        <w:rPr>
          <w:sz w:val="24"/>
          <w:szCs w:val="24"/>
          <w:lang w:val="uk-UA"/>
        </w:rPr>
        <w:t xml:space="preserve">Торговець інформує Клієнта: </w:t>
      </w:r>
    </w:p>
    <w:p w:rsidR="008F09AC" w:rsidRPr="005B3464" w:rsidRDefault="008F09AC" w:rsidP="008F09AC">
      <w:pPr>
        <w:pStyle w:val="a7"/>
        <w:numPr>
          <w:ilvl w:val="0"/>
          <w:numId w:val="3"/>
        </w:numPr>
        <w:spacing w:line="360" w:lineRule="auto"/>
        <w:ind w:left="0"/>
        <w:jc w:val="both"/>
        <w:rPr>
          <w:sz w:val="24"/>
          <w:szCs w:val="24"/>
          <w:lang w:val="uk-UA" w:eastAsia="uk-UA"/>
        </w:rPr>
      </w:pPr>
      <w:r w:rsidRPr="005B3464">
        <w:rPr>
          <w:b/>
          <w:sz w:val="24"/>
          <w:szCs w:val="24"/>
          <w:lang w:val="uk-UA"/>
        </w:rPr>
        <w:t>Відомості про державну реєстрацію Торговця</w:t>
      </w:r>
      <w:r w:rsidRPr="005B3464">
        <w:rPr>
          <w:sz w:val="24"/>
          <w:szCs w:val="24"/>
          <w:lang w:val="uk-UA" w:eastAsia="uk-UA"/>
        </w:rPr>
        <w:t>:</w:t>
      </w:r>
    </w:p>
    <w:p w:rsidR="008F09AC" w:rsidRPr="005B3464" w:rsidRDefault="008F09AC" w:rsidP="008F09AC">
      <w:pPr>
        <w:spacing w:line="360" w:lineRule="auto"/>
        <w:ind w:firstLine="360"/>
        <w:jc w:val="both"/>
        <w:rPr>
          <w:sz w:val="24"/>
          <w:szCs w:val="24"/>
          <w:lang w:val="uk-UA" w:eastAsia="uk-UA"/>
        </w:rPr>
      </w:pPr>
      <w:r w:rsidRPr="005B3464">
        <w:rPr>
          <w:sz w:val="24"/>
          <w:szCs w:val="24"/>
          <w:lang w:val="uk-UA" w:eastAsia="uk-UA"/>
        </w:rPr>
        <w:t>Дата державної реєстрації, дата та номер запису в Єдиному державному реєстрі юридичних осіб, фізичних осіб-підприємців та громадських формувань:</w:t>
      </w:r>
      <w:r>
        <w:rPr>
          <w:sz w:val="24"/>
          <w:szCs w:val="24"/>
          <w:lang w:val="uk-UA" w:eastAsia="uk-UA"/>
        </w:rPr>
        <w:t xml:space="preserve"> </w:t>
      </w:r>
      <w:r w:rsidRPr="00225C42">
        <w:rPr>
          <w:sz w:val="24"/>
          <w:szCs w:val="24"/>
          <w:lang w:val="uk-UA" w:eastAsia="uk-UA"/>
        </w:rPr>
        <w:t>16.10.1991</w:t>
      </w:r>
      <w:r>
        <w:rPr>
          <w:sz w:val="24"/>
          <w:szCs w:val="24"/>
          <w:lang w:val="uk-UA" w:eastAsia="uk-UA"/>
        </w:rPr>
        <w:t>, 02.12</w:t>
      </w:r>
      <w:r w:rsidRPr="005B3464">
        <w:rPr>
          <w:sz w:val="24"/>
          <w:szCs w:val="24"/>
          <w:lang w:val="uk-UA" w:eastAsia="uk-UA"/>
        </w:rPr>
        <w:t>.2004,</w:t>
      </w:r>
      <w:r>
        <w:rPr>
          <w:sz w:val="24"/>
          <w:szCs w:val="24"/>
          <w:lang w:val="uk-UA" w:eastAsia="uk-UA"/>
        </w:rPr>
        <w:t xml:space="preserve"> </w:t>
      </w:r>
      <w:r w:rsidRPr="00225C42">
        <w:rPr>
          <w:sz w:val="24"/>
          <w:szCs w:val="24"/>
          <w:lang w:val="uk-UA" w:eastAsia="uk-UA"/>
        </w:rPr>
        <w:t>1 103 120 0000 002044</w:t>
      </w:r>
      <w:r w:rsidRPr="005B3464">
        <w:rPr>
          <w:sz w:val="24"/>
          <w:szCs w:val="24"/>
          <w:lang w:val="uk-UA" w:eastAsia="uk-UA"/>
        </w:rPr>
        <w:t xml:space="preserve">. </w:t>
      </w:r>
    </w:p>
    <w:p w:rsidR="008F09AC" w:rsidRPr="005B3464" w:rsidRDefault="008F09AC" w:rsidP="008F09AC">
      <w:pPr>
        <w:pStyle w:val="a7"/>
        <w:keepNext/>
        <w:numPr>
          <w:ilvl w:val="0"/>
          <w:numId w:val="3"/>
        </w:numPr>
        <w:tabs>
          <w:tab w:val="left" w:pos="360"/>
        </w:tabs>
        <w:autoSpaceDE w:val="0"/>
        <w:autoSpaceDN w:val="0"/>
        <w:adjustRightInd w:val="0"/>
        <w:spacing w:line="360" w:lineRule="auto"/>
        <w:ind w:left="0"/>
        <w:jc w:val="both"/>
        <w:rPr>
          <w:sz w:val="24"/>
          <w:szCs w:val="24"/>
          <w:lang w:val="uk-UA" w:eastAsia="uk-UA"/>
        </w:rPr>
      </w:pPr>
      <w:r w:rsidRPr="005B3464">
        <w:rPr>
          <w:b/>
          <w:sz w:val="24"/>
          <w:szCs w:val="24"/>
          <w:lang w:val="uk-UA"/>
        </w:rPr>
        <w:t>Інформація щодо включення Торговця до відповідного державного реєстру Банків:</w:t>
      </w:r>
    </w:p>
    <w:p w:rsidR="008F09AC" w:rsidRPr="005B3464" w:rsidRDefault="008F09AC" w:rsidP="008F09AC">
      <w:pPr>
        <w:keepNext/>
        <w:tabs>
          <w:tab w:val="left" w:pos="360"/>
        </w:tabs>
        <w:autoSpaceDE w:val="0"/>
        <w:autoSpaceDN w:val="0"/>
        <w:adjustRightInd w:val="0"/>
        <w:spacing w:line="360" w:lineRule="auto"/>
        <w:jc w:val="both"/>
        <w:rPr>
          <w:sz w:val="24"/>
          <w:szCs w:val="24"/>
          <w:lang w:val="uk-UA" w:eastAsia="uk-UA"/>
        </w:rPr>
      </w:pPr>
      <w:r w:rsidRPr="005B3464">
        <w:rPr>
          <w:sz w:val="24"/>
          <w:szCs w:val="24"/>
          <w:lang w:val="uk-UA" w:eastAsia="uk-UA"/>
        </w:rPr>
        <w:t xml:space="preserve">Внесена до Державного реєстру банків </w:t>
      </w:r>
      <w:r w:rsidRPr="00222A12">
        <w:rPr>
          <w:sz w:val="24"/>
          <w:szCs w:val="24"/>
          <w:lang w:val="uk-UA" w:eastAsia="uk-UA"/>
        </w:rPr>
        <w:t xml:space="preserve">16.10.1991 </w:t>
      </w:r>
      <w:r>
        <w:rPr>
          <w:sz w:val="24"/>
          <w:szCs w:val="24"/>
          <w:lang w:val="uk-UA" w:eastAsia="uk-UA"/>
        </w:rPr>
        <w:t>року за номером № 36</w:t>
      </w:r>
    </w:p>
    <w:p w:rsidR="008F09AC" w:rsidRPr="005B3464" w:rsidRDefault="008F09AC" w:rsidP="008F09AC">
      <w:pPr>
        <w:pStyle w:val="a7"/>
        <w:keepNext/>
        <w:numPr>
          <w:ilvl w:val="0"/>
          <w:numId w:val="3"/>
        </w:numPr>
        <w:tabs>
          <w:tab w:val="left" w:pos="360"/>
        </w:tabs>
        <w:autoSpaceDE w:val="0"/>
        <w:autoSpaceDN w:val="0"/>
        <w:adjustRightInd w:val="0"/>
        <w:spacing w:line="360" w:lineRule="auto"/>
        <w:ind w:left="0"/>
        <w:jc w:val="both"/>
        <w:rPr>
          <w:b/>
          <w:sz w:val="24"/>
          <w:szCs w:val="24"/>
          <w:lang w:val="uk-UA"/>
        </w:rPr>
      </w:pPr>
      <w:r w:rsidRPr="005B3464">
        <w:rPr>
          <w:b/>
          <w:sz w:val="24"/>
          <w:szCs w:val="24"/>
          <w:lang w:val="uk-UA"/>
        </w:rPr>
        <w:t>Ліцензії на право проведення операцій з цінними паперами:</w:t>
      </w:r>
    </w:p>
    <w:p w:rsidR="008F09AC" w:rsidRPr="005B3464" w:rsidRDefault="008F09AC" w:rsidP="008F09AC">
      <w:pPr>
        <w:spacing w:line="360" w:lineRule="auto"/>
        <w:ind w:firstLine="708"/>
        <w:jc w:val="both"/>
        <w:rPr>
          <w:sz w:val="24"/>
          <w:szCs w:val="24"/>
          <w:lang w:val="uk-UA"/>
        </w:rPr>
      </w:pPr>
      <w:r w:rsidRPr="005B3464">
        <w:rPr>
          <w:sz w:val="24"/>
          <w:szCs w:val="24"/>
          <w:lang w:val="uk-UA"/>
        </w:rPr>
        <w:t xml:space="preserve">Брокерська </w:t>
      </w:r>
      <w:r w:rsidR="00773990">
        <w:rPr>
          <w:sz w:val="24"/>
          <w:szCs w:val="24"/>
          <w:lang w:val="uk-UA"/>
        </w:rPr>
        <w:t xml:space="preserve">та </w:t>
      </w:r>
      <w:proofErr w:type="spellStart"/>
      <w:r w:rsidR="00773990">
        <w:rPr>
          <w:sz w:val="24"/>
          <w:szCs w:val="24"/>
          <w:lang w:val="uk-UA"/>
        </w:rPr>
        <w:t>субброкерська</w:t>
      </w:r>
      <w:proofErr w:type="spellEnd"/>
      <w:r w:rsidR="00773990">
        <w:rPr>
          <w:sz w:val="24"/>
          <w:szCs w:val="24"/>
          <w:lang w:val="uk-UA"/>
        </w:rPr>
        <w:t xml:space="preserve"> діяльність – укладення Торговцем цивільно-правових договорів (зокрема на підставі договорів комісії, доручення) щодо цінних паперів та інших фінансових інструментів від свого імені (від імені іншої особи), за дорученням і за рахунок іншої особи. </w:t>
      </w:r>
      <w:r w:rsidRPr="005B3464">
        <w:rPr>
          <w:sz w:val="24"/>
          <w:szCs w:val="24"/>
          <w:lang w:val="uk-UA"/>
        </w:rPr>
        <w:t xml:space="preserve"> </w:t>
      </w:r>
    </w:p>
    <w:p w:rsidR="008F09AC" w:rsidRDefault="008F09AC" w:rsidP="008F09AC">
      <w:pPr>
        <w:spacing w:line="360" w:lineRule="auto"/>
        <w:ind w:firstLine="708"/>
        <w:jc w:val="both"/>
        <w:rPr>
          <w:sz w:val="24"/>
          <w:szCs w:val="24"/>
          <w:lang w:val="uk-UA"/>
        </w:rPr>
      </w:pPr>
      <w:r w:rsidRPr="005B3464">
        <w:rPr>
          <w:sz w:val="24"/>
          <w:szCs w:val="24"/>
          <w:lang w:val="uk-UA"/>
        </w:rPr>
        <w:t xml:space="preserve">Дилерська діяльність </w:t>
      </w:r>
      <w:r w:rsidR="00773990">
        <w:rPr>
          <w:sz w:val="24"/>
          <w:szCs w:val="24"/>
          <w:lang w:val="uk-UA"/>
        </w:rPr>
        <w:t xml:space="preserve">– укладення Торговцем цивільно-правових договорів щодо цінних паперів та інших фінансових інструментів від свого імені та за свій рахунок з метою перепродажу, крім випадків, передбачених законом. </w:t>
      </w:r>
      <w:r w:rsidRPr="005B3464">
        <w:rPr>
          <w:sz w:val="24"/>
          <w:szCs w:val="24"/>
          <w:lang w:val="uk-UA"/>
        </w:rPr>
        <w:t xml:space="preserve"> </w:t>
      </w:r>
    </w:p>
    <w:p w:rsidR="00773990" w:rsidRDefault="00773990" w:rsidP="008F09AC">
      <w:pPr>
        <w:spacing w:line="360" w:lineRule="auto"/>
        <w:ind w:firstLine="708"/>
        <w:jc w:val="both"/>
        <w:rPr>
          <w:sz w:val="24"/>
          <w:szCs w:val="24"/>
          <w:lang w:val="uk-UA"/>
        </w:rPr>
      </w:pPr>
      <w:r>
        <w:rPr>
          <w:sz w:val="24"/>
          <w:szCs w:val="24"/>
          <w:lang w:val="uk-UA"/>
        </w:rPr>
        <w:t>Д</w:t>
      </w:r>
      <w:r w:rsidRPr="00DB7A0B">
        <w:rPr>
          <w:sz w:val="24"/>
          <w:szCs w:val="24"/>
          <w:lang w:val="uk-UA"/>
        </w:rPr>
        <w:t>іяльність з розміщення без надання гарантії</w:t>
      </w:r>
      <w:r>
        <w:rPr>
          <w:sz w:val="24"/>
          <w:szCs w:val="24"/>
          <w:lang w:val="uk-UA"/>
        </w:rPr>
        <w:t xml:space="preserve"> </w:t>
      </w:r>
      <w:r w:rsidR="008B6536">
        <w:rPr>
          <w:sz w:val="24"/>
          <w:szCs w:val="24"/>
          <w:lang w:val="uk-UA"/>
        </w:rPr>
        <w:t>–</w:t>
      </w:r>
      <w:r>
        <w:rPr>
          <w:sz w:val="24"/>
          <w:szCs w:val="24"/>
          <w:lang w:val="uk-UA"/>
        </w:rPr>
        <w:t xml:space="preserve"> </w:t>
      </w:r>
      <w:r w:rsidR="008B6536">
        <w:rPr>
          <w:sz w:val="24"/>
          <w:szCs w:val="24"/>
          <w:lang w:val="uk-UA"/>
        </w:rPr>
        <w:t xml:space="preserve">діяльність яка проводиться Торговцем від імені емітента або </w:t>
      </w:r>
      <w:proofErr w:type="spellStart"/>
      <w:r w:rsidR="008B6536">
        <w:rPr>
          <w:sz w:val="24"/>
          <w:szCs w:val="24"/>
          <w:lang w:val="uk-UA"/>
        </w:rPr>
        <w:t>оферента</w:t>
      </w:r>
      <w:proofErr w:type="spellEnd"/>
      <w:r w:rsidR="008B6536">
        <w:rPr>
          <w:sz w:val="24"/>
          <w:szCs w:val="24"/>
          <w:lang w:val="uk-UA"/>
        </w:rPr>
        <w:t xml:space="preserve"> відповідно до умов договору про організацію розміщення.</w:t>
      </w:r>
    </w:p>
    <w:p w:rsidR="008B6536" w:rsidRPr="005B3464" w:rsidRDefault="008B6536" w:rsidP="008F09AC">
      <w:pPr>
        <w:spacing w:line="360" w:lineRule="auto"/>
        <w:ind w:firstLine="708"/>
        <w:jc w:val="both"/>
        <w:rPr>
          <w:sz w:val="24"/>
          <w:szCs w:val="24"/>
          <w:lang w:val="uk-UA"/>
        </w:rPr>
      </w:pPr>
      <w:r>
        <w:rPr>
          <w:sz w:val="24"/>
          <w:szCs w:val="24"/>
          <w:lang w:val="uk-UA"/>
        </w:rPr>
        <w:t xml:space="preserve">Ліцензії Торговця розміщено за посиланням: </w:t>
      </w:r>
    </w:p>
    <w:p w:rsidR="008F09AC" w:rsidRPr="005B3464" w:rsidRDefault="008F09AC" w:rsidP="008F09AC">
      <w:pPr>
        <w:spacing w:line="360" w:lineRule="auto"/>
        <w:ind w:firstLine="708"/>
        <w:jc w:val="both"/>
        <w:rPr>
          <w:sz w:val="24"/>
          <w:szCs w:val="24"/>
          <w:lang w:val="uk-UA"/>
        </w:rPr>
      </w:pPr>
      <w:hyperlink r:id="rId8" w:history="1">
        <w:r w:rsidRPr="007225EC">
          <w:rPr>
            <w:rStyle w:val="af0"/>
            <w:sz w:val="24"/>
            <w:szCs w:val="24"/>
            <w:lang w:val="uk-UA"/>
          </w:rPr>
          <w:t>https://industrialbank.ua/ua/litsenzii-banku</w:t>
        </w:r>
      </w:hyperlink>
      <w:r>
        <w:rPr>
          <w:sz w:val="24"/>
          <w:szCs w:val="24"/>
          <w:lang w:val="uk-UA"/>
        </w:rPr>
        <w:t xml:space="preserve"> </w:t>
      </w:r>
    </w:p>
    <w:p w:rsidR="008F09AC" w:rsidRPr="005B3464" w:rsidRDefault="008F09AC" w:rsidP="008F09AC">
      <w:pPr>
        <w:spacing w:line="360" w:lineRule="auto"/>
        <w:ind w:firstLine="360"/>
        <w:jc w:val="both"/>
        <w:rPr>
          <w:sz w:val="24"/>
          <w:szCs w:val="24"/>
          <w:lang w:val="uk-UA"/>
        </w:rPr>
      </w:pPr>
      <w:r w:rsidRPr="005B3464">
        <w:rPr>
          <w:sz w:val="24"/>
          <w:szCs w:val="24"/>
          <w:lang w:val="uk-UA"/>
        </w:rPr>
        <w:lastRenderedPageBreak/>
        <w:t xml:space="preserve">Розмір, порядок нарахування та сплати винагороди за надання фінансових послуг зазначається у проекті відповідного договору, який надається Торговцем Клієнту до його укладання. </w:t>
      </w:r>
    </w:p>
    <w:p w:rsidR="008F09AC" w:rsidRPr="005B3464" w:rsidRDefault="008F09AC" w:rsidP="008F09AC">
      <w:pPr>
        <w:pStyle w:val="a7"/>
        <w:keepNext/>
        <w:numPr>
          <w:ilvl w:val="0"/>
          <w:numId w:val="3"/>
        </w:numPr>
        <w:tabs>
          <w:tab w:val="left" w:pos="360"/>
        </w:tabs>
        <w:autoSpaceDE w:val="0"/>
        <w:autoSpaceDN w:val="0"/>
        <w:adjustRightInd w:val="0"/>
        <w:spacing w:line="360" w:lineRule="auto"/>
        <w:ind w:left="0"/>
        <w:jc w:val="both"/>
        <w:rPr>
          <w:b/>
          <w:sz w:val="24"/>
          <w:szCs w:val="24"/>
          <w:lang w:val="uk-UA"/>
        </w:rPr>
      </w:pPr>
      <w:r w:rsidRPr="005B3464">
        <w:rPr>
          <w:b/>
          <w:sz w:val="24"/>
          <w:szCs w:val="24"/>
          <w:lang w:val="uk-UA"/>
        </w:rPr>
        <w:t>Інвестиційні послуги Торговця:</w:t>
      </w:r>
    </w:p>
    <w:p w:rsidR="008F09AC" w:rsidRPr="002D6C8F" w:rsidRDefault="008F09AC" w:rsidP="008F09AC">
      <w:pPr>
        <w:pStyle w:val="ad"/>
        <w:tabs>
          <w:tab w:val="left" w:pos="426"/>
        </w:tabs>
        <w:spacing w:line="360" w:lineRule="auto"/>
        <w:jc w:val="both"/>
        <w:rPr>
          <w:rFonts w:ascii="Times New Roman" w:hAnsi="Times New Roman" w:cs="Times New Roman"/>
          <w:sz w:val="24"/>
          <w:szCs w:val="24"/>
          <w:lang w:val="uk-UA"/>
        </w:rPr>
      </w:pPr>
      <w:r w:rsidRPr="005B3464">
        <w:rPr>
          <w:rFonts w:ascii="Times New Roman" w:hAnsi="Times New Roman" w:cs="Times New Roman"/>
          <w:sz w:val="24"/>
          <w:szCs w:val="24"/>
          <w:lang w:val="uk-UA"/>
        </w:rPr>
        <w:tab/>
        <w:t>На підставі Генерального договору Торговець надає  інвестиційні послуги з укладення Торговцем цивільно-правових договорів щодо фінансових інструментів від свого імені або від імені Клієнта, за свій рахунок або за рахунок Клієнта, за власною ініціативою або за відповідним договором з Клієнтом чи за його Замовленням, які укладаються під час провадження професійної діяльності з торгівлі фінансовими інструментами, та/або здійснення дій чи надання послуг, пов’язаних з такими послугами.</w:t>
      </w:r>
      <w:r>
        <w:rPr>
          <w:lang w:val="uk-UA"/>
        </w:rPr>
        <w:t xml:space="preserve">                                                                                            </w:t>
      </w:r>
    </w:p>
    <w:p w:rsidR="008F09AC" w:rsidRPr="005B3464" w:rsidRDefault="008F09AC" w:rsidP="008F09AC">
      <w:pPr>
        <w:pStyle w:val="a7"/>
        <w:tabs>
          <w:tab w:val="left" w:pos="426"/>
          <w:tab w:val="left" w:pos="567"/>
          <w:tab w:val="left" w:pos="993"/>
        </w:tabs>
        <w:spacing w:line="360" w:lineRule="auto"/>
        <w:ind w:left="0"/>
        <w:jc w:val="both"/>
        <w:rPr>
          <w:sz w:val="24"/>
          <w:szCs w:val="24"/>
          <w:lang w:val="uk-UA"/>
        </w:rPr>
      </w:pPr>
      <w:r w:rsidRPr="005B3464">
        <w:rPr>
          <w:sz w:val="24"/>
          <w:szCs w:val="24"/>
          <w:lang w:val="uk-UA"/>
        </w:rPr>
        <w:t>Данні послуги надаються Клієнту, як на організованих,  так і поза організованих  ринках капіталу.</w:t>
      </w:r>
    </w:p>
    <w:p w:rsidR="008F09AC" w:rsidRPr="005B3464" w:rsidRDefault="008F09AC" w:rsidP="008F09AC">
      <w:pPr>
        <w:pStyle w:val="a7"/>
        <w:tabs>
          <w:tab w:val="left" w:pos="426"/>
          <w:tab w:val="left" w:pos="567"/>
          <w:tab w:val="left" w:pos="993"/>
        </w:tabs>
        <w:spacing w:line="360" w:lineRule="auto"/>
        <w:ind w:left="0"/>
        <w:jc w:val="both"/>
        <w:rPr>
          <w:sz w:val="24"/>
          <w:szCs w:val="24"/>
          <w:lang w:val="uk-UA"/>
        </w:rPr>
      </w:pPr>
      <w:r w:rsidRPr="005B3464">
        <w:rPr>
          <w:sz w:val="24"/>
          <w:szCs w:val="24"/>
          <w:lang w:val="uk-UA"/>
        </w:rPr>
        <w:t>Надання послуг щодо купівлі-продажу певних видів фінансових інструментів надається в залежності від складності, структури, особливостей обігу, ризиків, розрахунку прибутковості тощо такого фінансового інструменту та здійсненої Торговцем оцінки Клієнта і присвоєної категорії за результатами оцінювання,</w:t>
      </w:r>
      <w:r>
        <w:rPr>
          <w:sz w:val="24"/>
          <w:szCs w:val="24"/>
          <w:lang w:val="uk-UA"/>
        </w:rPr>
        <w:t xml:space="preserve"> що наведена у Розділі ІІІ Генерального</w:t>
      </w:r>
      <w:r w:rsidRPr="005B3464">
        <w:rPr>
          <w:sz w:val="24"/>
          <w:szCs w:val="24"/>
          <w:lang w:val="uk-UA"/>
        </w:rPr>
        <w:t xml:space="preserve"> Договору. Перелік інструментів, що є придатними для роботи Клієнта визначається відпові</w:t>
      </w:r>
      <w:r>
        <w:rPr>
          <w:sz w:val="24"/>
          <w:szCs w:val="24"/>
          <w:lang w:val="uk-UA"/>
        </w:rPr>
        <w:t>дно до додатків 1-2, 3.1 та 3.2, 3.3</w:t>
      </w:r>
      <w:r w:rsidRPr="005B3464">
        <w:rPr>
          <w:sz w:val="24"/>
          <w:szCs w:val="24"/>
          <w:lang w:val="uk-UA"/>
        </w:rPr>
        <w:t>.</w:t>
      </w:r>
    </w:p>
    <w:p w:rsidR="008F09AC" w:rsidRPr="005B3464" w:rsidRDefault="008F09AC" w:rsidP="008F09AC">
      <w:pPr>
        <w:pStyle w:val="a7"/>
        <w:keepNext/>
        <w:numPr>
          <w:ilvl w:val="0"/>
          <w:numId w:val="3"/>
        </w:numPr>
        <w:tabs>
          <w:tab w:val="left" w:pos="360"/>
        </w:tabs>
        <w:autoSpaceDE w:val="0"/>
        <w:autoSpaceDN w:val="0"/>
        <w:adjustRightInd w:val="0"/>
        <w:spacing w:line="360" w:lineRule="auto"/>
        <w:ind w:left="0"/>
        <w:jc w:val="both"/>
        <w:rPr>
          <w:b/>
          <w:sz w:val="24"/>
          <w:szCs w:val="24"/>
          <w:lang w:val="uk-UA"/>
        </w:rPr>
      </w:pPr>
      <w:r w:rsidRPr="005B3464">
        <w:rPr>
          <w:b/>
          <w:sz w:val="24"/>
          <w:szCs w:val="24"/>
          <w:lang w:val="uk-UA"/>
        </w:rPr>
        <w:t>Правила виконання Торговцем доручень клієнтів</w:t>
      </w:r>
    </w:p>
    <w:p w:rsidR="008F09AC" w:rsidRPr="005B3464" w:rsidRDefault="008F09AC" w:rsidP="008F09AC">
      <w:pPr>
        <w:pStyle w:val="ad"/>
        <w:tabs>
          <w:tab w:val="left" w:pos="426"/>
        </w:tabs>
        <w:spacing w:line="360" w:lineRule="auto"/>
        <w:outlineLvl w:val="1"/>
        <w:rPr>
          <w:rFonts w:ascii="Times New Roman" w:hAnsi="Times New Roman" w:cs="Times New Roman"/>
          <w:b/>
          <w:sz w:val="24"/>
          <w:szCs w:val="24"/>
          <w:lang w:val="uk-UA"/>
        </w:rPr>
      </w:pPr>
      <w:bookmarkStart w:id="0" w:name="_Toc75952344"/>
      <w:bookmarkStart w:id="1" w:name="_Toc413165659"/>
      <w:r w:rsidRPr="005B3464">
        <w:rPr>
          <w:rFonts w:ascii="Times New Roman" w:hAnsi="Times New Roman" w:cs="Times New Roman"/>
          <w:b/>
          <w:sz w:val="24"/>
          <w:szCs w:val="24"/>
          <w:lang w:val="uk-UA"/>
        </w:rPr>
        <w:t>5.1. Порядок, спосіб та форма надання Клієнтом звернень та замовлень</w:t>
      </w:r>
      <w:bookmarkEnd w:id="0"/>
    </w:p>
    <w:p w:rsidR="008F09AC" w:rsidRPr="005B3464" w:rsidRDefault="008F09AC" w:rsidP="008F09AC">
      <w:pPr>
        <w:tabs>
          <w:tab w:val="left" w:pos="1134"/>
        </w:tabs>
        <w:spacing w:line="360" w:lineRule="auto"/>
        <w:jc w:val="both"/>
        <w:rPr>
          <w:sz w:val="24"/>
          <w:szCs w:val="24"/>
          <w:lang w:val="uk-UA"/>
        </w:rPr>
      </w:pPr>
      <w:r w:rsidRPr="005B3464">
        <w:rPr>
          <w:sz w:val="24"/>
          <w:szCs w:val="24"/>
          <w:lang w:val="uk-UA" w:eastAsia="en-US"/>
        </w:rPr>
        <w:t>Клієнт звертається до Торговця у довільній формі щодо зацікавленості у здійсненні операції з фінансовими інструментами, різними каналами зв’язку, а саме: особисто співробітнику Торговця, з використанням засобів поштової або кур'єрської доставки,  за допомогою Системи, а також засобів електронної пошти.</w:t>
      </w:r>
    </w:p>
    <w:p w:rsidR="008F09AC" w:rsidRPr="005B3464" w:rsidRDefault="008F09AC" w:rsidP="008F09AC">
      <w:pPr>
        <w:autoSpaceDE w:val="0"/>
        <w:autoSpaceDN w:val="0"/>
        <w:adjustRightInd w:val="0"/>
        <w:spacing w:line="360" w:lineRule="auto"/>
        <w:ind w:firstLine="708"/>
        <w:jc w:val="both"/>
        <w:rPr>
          <w:rFonts w:eastAsiaTheme="minorHAnsi"/>
          <w:color w:val="000000"/>
          <w:sz w:val="24"/>
          <w:szCs w:val="24"/>
          <w:lang w:val="uk-UA" w:eastAsia="en-US"/>
        </w:rPr>
      </w:pPr>
      <w:r w:rsidRPr="005B3464">
        <w:rPr>
          <w:rFonts w:eastAsiaTheme="minorHAnsi"/>
          <w:color w:val="000000"/>
          <w:sz w:val="24"/>
          <w:szCs w:val="24"/>
          <w:lang w:val="uk-UA" w:eastAsia="en-US"/>
        </w:rPr>
        <w:t xml:space="preserve">У разі якщо Торговець отримує від </w:t>
      </w:r>
      <w:r w:rsidR="007E77AF">
        <w:rPr>
          <w:rFonts w:eastAsiaTheme="minorHAnsi"/>
          <w:color w:val="000000"/>
          <w:sz w:val="24"/>
          <w:szCs w:val="24"/>
          <w:lang w:val="uk-UA" w:eastAsia="en-US"/>
        </w:rPr>
        <w:t>К</w:t>
      </w:r>
      <w:r w:rsidRPr="005B3464">
        <w:rPr>
          <w:rFonts w:eastAsiaTheme="minorHAnsi"/>
          <w:color w:val="000000"/>
          <w:sz w:val="24"/>
          <w:szCs w:val="24"/>
          <w:lang w:val="uk-UA" w:eastAsia="en-US"/>
        </w:rPr>
        <w:t xml:space="preserve">лієнта звернення на купівлю чи продаж певних фінансових інструментів, а ці фінансові інструменти знаходяться у власності Торговця та у разі зацікавленості Торговця продати клієнту зазначені фінансові інструменти, або у разі зацікавленості Торговця купити </w:t>
      </w:r>
      <w:r w:rsidR="007E77AF">
        <w:rPr>
          <w:rFonts w:eastAsiaTheme="minorHAnsi"/>
          <w:color w:val="000000"/>
          <w:sz w:val="24"/>
          <w:szCs w:val="24"/>
          <w:lang w:val="uk-UA" w:eastAsia="en-US"/>
        </w:rPr>
        <w:t>у</w:t>
      </w:r>
      <w:r w:rsidRPr="005B3464">
        <w:rPr>
          <w:rFonts w:eastAsiaTheme="minorHAnsi"/>
          <w:color w:val="000000"/>
          <w:sz w:val="24"/>
          <w:szCs w:val="24"/>
          <w:lang w:val="uk-UA" w:eastAsia="en-US"/>
        </w:rPr>
        <w:t xml:space="preserve"> </w:t>
      </w:r>
      <w:r w:rsidR="007E77AF">
        <w:rPr>
          <w:rFonts w:eastAsiaTheme="minorHAnsi"/>
          <w:color w:val="000000"/>
          <w:sz w:val="24"/>
          <w:szCs w:val="24"/>
          <w:lang w:val="uk-UA" w:eastAsia="en-US"/>
        </w:rPr>
        <w:t>К</w:t>
      </w:r>
      <w:r w:rsidRPr="005B3464">
        <w:rPr>
          <w:rFonts w:eastAsiaTheme="minorHAnsi"/>
          <w:color w:val="000000"/>
          <w:sz w:val="24"/>
          <w:szCs w:val="24"/>
          <w:lang w:val="uk-UA" w:eastAsia="en-US"/>
        </w:rPr>
        <w:t>лієнта зазначені фінансові інструменти</w:t>
      </w:r>
      <w:r w:rsidR="007E77AF">
        <w:rPr>
          <w:rFonts w:eastAsiaTheme="minorHAnsi"/>
          <w:color w:val="000000"/>
          <w:sz w:val="24"/>
          <w:szCs w:val="24"/>
          <w:lang w:val="uk-UA" w:eastAsia="en-US"/>
        </w:rPr>
        <w:t>,</w:t>
      </w:r>
      <w:r w:rsidR="00677880">
        <w:rPr>
          <w:rFonts w:eastAsiaTheme="minorHAnsi"/>
          <w:color w:val="000000"/>
          <w:sz w:val="24"/>
          <w:szCs w:val="24"/>
          <w:lang w:val="uk-UA" w:eastAsia="en-US"/>
        </w:rPr>
        <w:t xml:space="preserve"> </w:t>
      </w:r>
      <w:r w:rsidRPr="005B3464">
        <w:rPr>
          <w:rFonts w:eastAsiaTheme="minorHAnsi"/>
          <w:color w:val="000000"/>
          <w:sz w:val="24"/>
          <w:szCs w:val="24"/>
          <w:lang w:val="uk-UA" w:eastAsia="en-US"/>
        </w:rPr>
        <w:t xml:space="preserve"> </w:t>
      </w:r>
      <w:r w:rsidR="007E77AF">
        <w:rPr>
          <w:rFonts w:eastAsiaTheme="minorHAnsi"/>
          <w:color w:val="000000"/>
          <w:sz w:val="24"/>
          <w:szCs w:val="24"/>
          <w:lang w:val="uk-UA" w:eastAsia="en-US"/>
        </w:rPr>
        <w:t>Т</w:t>
      </w:r>
      <w:r w:rsidRPr="005B3464">
        <w:rPr>
          <w:rFonts w:eastAsiaTheme="minorHAnsi"/>
          <w:color w:val="000000"/>
          <w:sz w:val="24"/>
          <w:szCs w:val="24"/>
          <w:lang w:val="uk-UA" w:eastAsia="en-US"/>
        </w:rPr>
        <w:t xml:space="preserve">орговець повідомляє про це Клієнта, тими ж каналами зв’язку, якими прийшло звернення. </w:t>
      </w:r>
    </w:p>
    <w:p w:rsidR="008F09AC" w:rsidRPr="005B3464" w:rsidRDefault="008F09AC" w:rsidP="008F09AC">
      <w:pPr>
        <w:autoSpaceDE w:val="0"/>
        <w:autoSpaceDN w:val="0"/>
        <w:adjustRightInd w:val="0"/>
        <w:spacing w:line="360" w:lineRule="auto"/>
        <w:ind w:firstLine="708"/>
        <w:jc w:val="both"/>
        <w:rPr>
          <w:rFonts w:eastAsiaTheme="minorHAnsi"/>
          <w:color w:val="000000"/>
          <w:sz w:val="24"/>
          <w:szCs w:val="24"/>
          <w:lang w:val="uk-UA" w:eastAsia="en-US"/>
        </w:rPr>
      </w:pPr>
      <w:r w:rsidRPr="005B3464">
        <w:rPr>
          <w:rFonts w:eastAsiaTheme="minorHAnsi"/>
          <w:color w:val="000000"/>
          <w:sz w:val="24"/>
          <w:szCs w:val="24"/>
          <w:lang w:val="uk-UA" w:eastAsia="en-US"/>
        </w:rPr>
        <w:t>У разі згоди Клієнта придбати ці фінансові інструменти безпосередньо у Торговця саме по запропонованій Торговцем ціні, чи продати їх Торговцю по запропонованій Торговцем ціні, Торговець укладає з ним договір купівлі-продажу щодо певних фінансових інструментів, що є Індивідуальною частиною Генерального дог</w:t>
      </w:r>
      <w:r>
        <w:rPr>
          <w:rFonts w:eastAsiaTheme="minorHAnsi"/>
          <w:color w:val="000000"/>
          <w:sz w:val="24"/>
          <w:szCs w:val="24"/>
          <w:lang w:val="uk-UA" w:eastAsia="en-US"/>
        </w:rPr>
        <w:t>овору, відповідно до Додатку 4</w:t>
      </w:r>
      <w:r w:rsidRPr="005B3464">
        <w:rPr>
          <w:rFonts w:eastAsiaTheme="minorHAnsi"/>
          <w:color w:val="000000"/>
          <w:sz w:val="24"/>
          <w:szCs w:val="24"/>
          <w:lang w:val="uk-UA" w:eastAsia="en-US"/>
        </w:rPr>
        <w:t>, 5 до даного Генерального договору.</w:t>
      </w:r>
    </w:p>
    <w:p w:rsidR="008F09AC" w:rsidRPr="005B3464" w:rsidRDefault="008F09AC" w:rsidP="008F09AC">
      <w:pPr>
        <w:shd w:val="clear" w:color="auto" w:fill="FFFFFF"/>
        <w:spacing w:line="360" w:lineRule="auto"/>
        <w:ind w:firstLine="708"/>
        <w:jc w:val="both"/>
        <w:rPr>
          <w:rFonts w:eastAsiaTheme="minorHAnsi"/>
          <w:color w:val="000000"/>
          <w:sz w:val="24"/>
          <w:szCs w:val="24"/>
          <w:lang w:val="uk-UA" w:eastAsia="en-US"/>
        </w:rPr>
      </w:pPr>
      <w:r w:rsidRPr="005B3464">
        <w:rPr>
          <w:rFonts w:eastAsiaTheme="minorHAnsi"/>
          <w:color w:val="000000"/>
          <w:sz w:val="24"/>
          <w:szCs w:val="24"/>
          <w:lang w:val="uk-UA" w:eastAsia="en-US"/>
        </w:rPr>
        <w:t xml:space="preserve">Клієнт може звернутися за наданням фінансової послуги щодо купівлі-продажу фінансових інструментів по запропонованій Клієнтом ціні та надає Торговцю Заяву відповідно до Додатку 6 </w:t>
      </w:r>
      <w:r>
        <w:rPr>
          <w:rFonts w:eastAsiaTheme="minorHAnsi"/>
          <w:color w:val="000000"/>
          <w:sz w:val="24"/>
          <w:szCs w:val="24"/>
          <w:lang w:val="uk-UA" w:eastAsia="en-US"/>
        </w:rPr>
        <w:t xml:space="preserve">Генерального договору </w:t>
      </w:r>
      <w:r w:rsidRPr="005B3464">
        <w:rPr>
          <w:rFonts w:eastAsiaTheme="minorHAnsi"/>
          <w:color w:val="000000"/>
          <w:sz w:val="24"/>
          <w:szCs w:val="24"/>
          <w:lang w:val="uk-UA" w:eastAsia="en-US"/>
        </w:rPr>
        <w:t>на купівлю/продаж фінансових інструментів, які є у власності Торговця. В такому випадку Торговець укладає з Клієнтом договір купівлі-продажу щодо певних фінансових інструментів, що є невід’ємною частиною Генерального договору</w:t>
      </w:r>
      <w:r>
        <w:rPr>
          <w:rFonts w:eastAsiaTheme="minorHAnsi"/>
          <w:color w:val="000000"/>
          <w:sz w:val="24"/>
          <w:szCs w:val="24"/>
          <w:lang w:val="uk-UA" w:eastAsia="en-US"/>
        </w:rPr>
        <w:t>, відповідно до Додатку 4</w:t>
      </w:r>
      <w:r w:rsidRPr="005B3464">
        <w:rPr>
          <w:rFonts w:eastAsiaTheme="minorHAnsi"/>
          <w:color w:val="000000"/>
          <w:sz w:val="24"/>
          <w:szCs w:val="24"/>
          <w:lang w:val="uk-UA" w:eastAsia="en-US"/>
        </w:rPr>
        <w:t xml:space="preserve"> або 5 до даного Генерального договору.</w:t>
      </w:r>
    </w:p>
    <w:p w:rsidR="008F09AC" w:rsidRPr="005B3464" w:rsidRDefault="008F09AC" w:rsidP="008F09AC">
      <w:pPr>
        <w:shd w:val="clear" w:color="auto" w:fill="FFFFFF"/>
        <w:spacing w:line="360" w:lineRule="auto"/>
        <w:ind w:firstLine="708"/>
        <w:jc w:val="both"/>
        <w:rPr>
          <w:sz w:val="24"/>
          <w:szCs w:val="24"/>
          <w:lang w:val="uk-UA"/>
        </w:rPr>
      </w:pPr>
      <w:r w:rsidRPr="005B3464">
        <w:rPr>
          <w:sz w:val="24"/>
          <w:szCs w:val="24"/>
          <w:lang w:val="uk-UA"/>
        </w:rPr>
        <w:t xml:space="preserve">Для отримання Інвестиційної послуги Клієнт надає Торговцю підписане Замовлення відповідно до Додатків 7, 10 цього Генерального договору  на купівлю чи продаж певних фінансових інструментів. Замовлення є невід’ємною частиною цього Генерального договору після його підписання. </w:t>
      </w:r>
    </w:p>
    <w:p w:rsidR="008F09AC" w:rsidRPr="005B3464" w:rsidRDefault="008F09AC" w:rsidP="008F09AC">
      <w:pPr>
        <w:shd w:val="clear" w:color="auto" w:fill="FFFFFF"/>
        <w:spacing w:line="360" w:lineRule="auto"/>
        <w:ind w:firstLine="708"/>
        <w:jc w:val="both"/>
        <w:rPr>
          <w:sz w:val="24"/>
          <w:szCs w:val="24"/>
          <w:lang w:val="uk-UA"/>
        </w:rPr>
      </w:pPr>
      <w:r w:rsidRPr="005B3464">
        <w:rPr>
          <w:sz w:val="24"/>
          <w:szCs w:val="24"/>
          <w:lang w:val="uk-UA"/>
        </w:rPr>
        <w:lastRenderedPageBreak/>
        <w:t xml:space="preserve">Клієнт підписує Замовлення у визначений Генеральним договором спосіб. У випадку подання Замовлення на паперовому носії, Замовлення підписується у 2 (двох) примірниках та передається обумовленими каналами зв’язку, що вказані в Індивідуальній частині до Генерального договору. </w:t>
      </w:r>
    </w:p>
    <w:p w:rsidR="008F09AC" w:rsidRPr="005B3464" w:rsidRDefault="008F09AC" w:rsidP="008F09AC">
      <w:pPr>
        <w:shd w:val="clear" w:color="auto" w:fill="FFFFFF"/>
        <w:spacing w:line="360" w:lineRule="auto"/>
        <w:ind w:firstLine="708"/>
        <w:jc w:val="both"/>
        <w:rPr>
          <w:sz w:val="24"/>
          <w:szCs w:val="24"/>
          <w:lang w:val="uk-UA" w:eastAsia="en-US"/>
        </w:rPr>
      </w:pPr>
      <w:r w:rsidRPr="005B3464">
        <w:rPr>
          <w:sz w:val="24"/>
          <w:szCs w:val="24"/>
          <w:lang w:val="uk-UA"/>
        </w:rPr>
        <w:t>Клієнт має право відкликати, скасувати або змінити Замовлення, яке не підтверджене або не було виконане Торговцем. Торговець не має права відмовитися від виконання підтвердженого Замовлення, крім випадків, передбачених чинним законодавством та за виключенням випадку неможливості його виконання через обставини, що не залежать від волі Торговця.</w:t>
      </w:r>
    </w:p>
    <w:p w:rsidR="008F09AC" w:rsidRPr="005B3464" w:rsidRDefault="008F09AC" w:rsidP="008F09AC">
      <w:pPr>
        <w:pStyle w:val="11"/>
        <w:spacing w:after="0" w:line="360" w:lineRule="auto"/>
        <w:ind w:left="0"/>
        <w:contextualSpacing/>
        <w:jc w:val="both"/>
        <w:outlineLvl w:val="1"/>
        <w:rPr>
          <w:rFonts w:ascii="Times New Roman" w:hAnsi="Times New Roman"/>
          <w:b/>
          <w:sz w:val="24"/>
          <w:szCs w:val="24"/>
          <w:lang w:val="uk-UA"/>
        </w:rPr>
      </w:pPr>
      <w:bookmarkStart w:id="2" w:name="_Toc75952345"/>
      <w:r w:rsidRPr="005B3464">
        <w:rPr>
          <w:rFonts w:ascii="Times New Roman" w:hAnsi="Times New Roman"/>
          <w:b/>
          <w:sz w:val="24"/>
          <w:szCs w:val="24"/>
          <w:lang w:val="uk-UA"/>
        </w:rPr>
        <w:t>5.2. Порядок опрацювання та виконання Замовлень та інших розпоряджень, доручень Клієнта</w:t>
      </w:r>
      <w:bookmarkEnd w:id="2"/>
    </w:p>
    <w:p w:rsidR="008F09AC" w:rsidRPr="005B3464" w:rsidRDefault="008F09AC" w:rsidP="008F09AC">
      <w:pPr>
        <w:pStyle w:val="11"/>
        <w:spacing w:after="0" w:line="360" w:lineRule="auto"/>
        <w:ind w:left="0" w:firstLine="708"/>
        <w:contextualSpacing/>
        <w:jc w:val="both"/>
        <w:rPr>
          <w:rFonts w:ascii="Times New Roman" w:hAnsi="Times New Roman"/>
          <w:sz w:val="24"/>
          <w:szCs w:val="24"/>
          <w:lang w:val="uk-UA"/>
        </w:rPr>
      </w:pPr>
      <w:r w:rsidRPr="005B3464">
        <w:rPr>
          <w:rFonts w:ascii="Times New Roman" w:hAnsi="Times New Roman"/>
          <w:sz w:val="24"/>
          <w:szCs w:val="24"/>
          <w:lang w:val="uk-UA"/>
        </w:rPr>
        <w:t xml:space="preserve">Замовлення, яке надане відповідно до пункту 4.1.3 </w:t>
      </w:r>
      <w:r>
        <w:rPr>
          <w:rFonts w:ascii="Times New Roman" w:hAnsi="Times New Roman"/>
          <w:sz w:val="24"/>
          <w:szCs w:val="24"/>
          <w:lang w:val="uk-UA"/>
        </w:rPr>
        <w:t xml:space="preserve">Генерального договору </w:t>
      </w:r>
      <w:r w:rsidRPr="005B3464">
        <w:rPr>
          <w:rFonts w:ascii="Times New Roman" w:hAnsi="Times New Roman"/>
          <w:sz w:val="24"/>
          <w:szCs w:val="24"/>
          <w:lang w:val="uk-UA"/>
        </w:rPr>
        <w:t>містить розпорядження на визначених умовах виконати певну операцію з конкретними фінансовими інструментами в інтересах Клієнта відповідно до виду Замовлення, а саме:</w:t>
      </w:r>
    </w:p>
    <w:p w:rsidR="008F09AC" w:rsidRPr="005B3464" w:rsidRDefault="008F09AC" w:rsidP="008F09AC">
      <w:pPr>
        <w:pStyle w:val="ae"/>
        <w:spacing w:before="0" w:beforeAutospacing="0" w:after="0" w:afterAutospacing="0" w:line="360" w:lineRule="auto"/>
        <w:jc w:val="both"/>
        <w:rPr>
          <w:lang w:val="uk-UA"/>
        </w:rPr>
      </w:pPr>
      <w:r w:rsidRPr="005B3464">
        <w:rPr>
          <w:lang w:val="uk-UA"/>
        </w:rPr>
        <w:t>-  ринкове замовлення - замовлення купити/продати фінансові інструменти за ринковою ціною (дохідністю), що негайно, виходячи з ринкових умов, виконується Торговцем;</w:t>
      </w:r>
    </w:p>
    <w:p w:rsidR="008F09AC" w:rsidRPr="005B3464" w:rsidRDefault="008F09AC" w:rsidP="008F09AC">
      <w:pPr>
        <w:pStyle w:val="ae"/>
        <w:spacing w:before="0" w:beforeAutospacing="0" w:after="0" w:afterAutospacing="0" w:line="360" w:lineRule="auto"/>
        <w:jc w:val="both"/>
        <w:rPr>
          <w:lang w:val="uk-UA"/>
        </w:rPr>
      </w:pPr>
      <w:r w:rsidRPr="005B3464">
        <w:rPr>
          <w:lang w:val="uk-UA"/>
        </w:rPr>
        <w:t xml:space="preserve">- лімітне замовлення - замовлення купити/продати фінансові інструменти за обумовленою </w:t>
      </w:r>
      <w:r w:rsidR="00ED6EDC">
        <w:rPr>
          <w:lang w:val="uk-UA"/>
        </w:rPr>
        <w:t>К</w:t>
      </w:r>
      <w:r w:rsidRPr="005B3464">
        <w:rPr>
          <w:lang w:val="uk-UA"/>
        </w:rPr>
        <w:t>лієнтом ціною (дохідністю) або кращою;</w:t>
      </w:r>
    </w:p>
    <w:p w:rsidR="008F09AC" w:rsidRPr="005B3464" w:rsidRDefault="008F09AC" w:rsidP="008F09AC">
      <w:pPr>
        <w:pStyle w:val="ae"/>
        <w:spacing w:before="0" w:beforeAutospacing="0" w:after="0" w:afterAutospacing="0" w:line="360" w:lineRule="auto"/>
        <w:jc w:val="both"/>
        <w:rPr>
          <w:lang w:val="uk-UA"/>
        </w:rPr>
      </w:pPr>
      <w:r w:rsidRPr="005B3464">
        <w:rPr>
          <w:lang w:val="uk-UA"/>
        </w:rPr>
        <w:t xml:space="preserve">- стоп-замовлення - замовлення купити/продати фінансові інструменти, яке виконується </w:t>
      </w:r>
      <w:r w:rsidR="00ED6EDC">
        <w:rPr>
          <w:lang w:val="uk-UA"/>
        </w:rPr>
        <w:t>Т</w:t>
      </w:r>
      <w:r w:rsidRPr="005B3464">
        <w:rPr>
          <w:lang w:val="uk-UA"/>
        </w:rPr>
        <w:t>орговцем в той момент, коли ціна та/або дохідність (для боргових фінансових інструментів) досягне визначеного Клієнтом значення;</w:t>
      </w:r>
    </w:p>
    <w:p w:rsidR="008F09AC" w:rsidRPr="005B3464" w:rsidRDefault="008F09AC" w:rsidP="008F09AC">
      <w:pPr>
        <w:pStyle w:val="ae"/>
        <w:spacing w:before="0" w:beforeAutospacing="0" w:after="0" w:afterAutospacing="0" w:line="360" w:lineRule="auto"/>
        <w:jc w:val="both"/>
        <w:rPr>
          <w:lang w:val="uk-UA"/>
        </w:rPr>
      </w:pPr>
      <w:r w:rsidRPr="005B3464">
        <w:rPr>
          <w:lang w:val="uk-UA"/>
        </w:rPr>
        <w:t>- замовлення FOC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автоматично скасовується у випадку неможливості його виконання на зазначених умовах;</w:t>
      </w:r>
    </w:p>
    <w:p w:rsidR="008F09AC" w:rsidRPr="005B3464" w:rsidRDefault="008F09AC" w:rsidP="008F09AC">
      <w:pPr>
        <w:pStyle w:val="ae"/>
        <w:spacing w:before="0" w:beforeAutospacing="0" w:after="0" w:afterAutospacing="0" w:line="360" w:lineRule="auto"/>
        <w:jc w:val="both"/>
        <w:rPr>
          <w:lang w:val="uk-UA"/>
        </w:rPr>
      </w:pPr>
      <w:r w:rsidRPr="005B3464">
        <w:rPr>
          <w:lang w:val="uk-UA"/>
        </w:rPr>
        <w:t>- замовлення IOC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частково у випадку неможливості його виконання у повному обсязі з одночасним скасуванням невиконаної частини замовлення;</w:t>
      </w:r>
    </w:p>
    <w:p w:rsidR="008F09AC" w:rsidRPr="005B3464" w:rsidRDefault="008F09AC" w:rsidP="008F09AC">
      <w:pPr>
        <w:pStyle w:val="ae"/>
        <w:spacing w:before="0" w:beforeAutospacing="0" w:after="0" w:afterAutospacing="0" w:line="360" w:lineRule="auto"/>
        <w:jc w:val="both"/>
        <w:rPr>
          <w:lang w:val="uk-UA"/>
        </w:rPr>
      </w:pPr>
      <w:r w:rsidRPr="005B3464">
        <w:rPr>
          <w:lang w:val="uk-UA"/>
        </w:rPr>
        <w:t>- замовлення AON - замовлення купити/продати визначену кількість фінансових інструментів, що виконується Торговцем у повному обсязі або автоматично скасовується у випадку неможливості його виконання на зазначених умовах;</w:t>
      </w:r>
    </w:p>
    <w:p w:rsidR="008F09AC" w:rsidRPr="005B3464" w:rsidRDefault="008F09AC" w:rsidP="008F09AC">
      <w:pPr>
        <w:pStyle w:val="ae"/>
        <w:spacing w:before="0" w:beforeAutospacing="0" w:after="0" w:afterAutospacing="0" w:line="360" w:lineRule="auto"/>
        <w:jc w:val="both"/>
        <w:rPr>
          <w:lang w:val="uk-UA"/>
        </w:rPr>
      </w:pPr>
      <w:r w:rsidRPr="005B3464">
        <w:rPr>
          <w:lang w:val="uk-UA"/>
        </w:rPr>
        <w:t xml:space="preserve">- замовлення GTC - замовлення купувати/продавати фінансові інструменти, яке діє та виконується </w:t>
      </w:r>
      <w:r w:rsidR="00ED6EDC">
        <w:rPr>
          <w:lang w:val="uk-UA"/>
        </w:rPr>
        <w:t>Т</w:t>
      </w:r>
      <w:r w:rsidRPr="005B3464">
        <w:rPr>
          <w:lang w:val="uk-UA"/>
        </w:rPr>
        <w:t>орговцем до його відміни (відкликання) Клієнтом.</w:t>
      </w:r>
    </w:p>
    <w:p w:rsidR="008F09AC" w:rsidRPr="005B3464" w:rsidRDefault="008F09AC" w:rsidP="008F09AC">
      <w:pPr>
        <w:pStyle w:val="ae"/>
        <w:spacing w:before="0" w:beforeAutospacing="0" w:after="0" w:afterAutospacing="0" w:line="360" w:lineRule="auto"/>
        <w:jc w:val="both"/>
        <w:rPr>
          <w:lang w:val="uk-UA"/>
        </w:rPr>
      </w:pPr>
      <w:r w:rsidRPr="005B3464">
        <w:rPr>
          <w:lang w:val="uk-UA"/>
        </w:rPr>
        <w:t>- замовлення DAY - замовлення купити/продати фінансові інструменти, яке діє до кінця торгового дня, а потім автоматично скасовується;</w:t>
      </w:r>
    </w:p>
    <w:p w:rsidR="008F09AC" w:rsidRPr="005B3464" w:rsidRDefault="008F09AC" w:rsidP="008F09AC">
      <w:pPr>
        <w:pStyle w:val="ae"/>
        <w:spacing w:before="0" w:beforeAutospacing="0" w:after="0" w:afterAutospacing="0" w:line="360" w:lineRule="auto"/>
        <w:jc w:val="both"/>
        <w:rPr>
          <w:lang w:val="uk-UA"/>
        </w:rPr>
      </w:pPr>
      <w:r w:rsidRPr="005B3464">
        <w:rPr>
          <w:lang w:val="uk-UA"/>
        </w:rPr>
        <w:t>- замовлення позики - замовлення передати у власність іншій Стороні (позичальнику) або отримати у власність від іншої Сторони певну кількість фінансових інструментів з відповідними реквізитами ідентифікації з обов'язком їх повернення через визначений строк або на вимогу однієї із сторін;</w:t>
      </w:r>
    </w:p>
    <w:p w:rsidR="008F09AC" w:rsidRPr="005B3464" w:rsidRDefault="008F09AC" w:rsidP="008F09AC">
      <w:pPr>
        <w:pStyle w:val="ae"/>
        <w:spacing w:before="0" w:beforeAutospacing="0" w:after="0" w:afterAutospacing="0" w:line="360" w:lineRule="auto"/>
        <w:jc w:val="both"/>
        <w:rPr>
          <w:lang w:val="uk-UA"/>
        </w:rPr>
      </w:pPr>
      <w:bookmarkStart w:id="3" w:name="n125"/>
      <w:bookmarkStart w:id="4" w:name="n126"/>
      <w:bookmarkStart w:id="5" w:name="n127"/>
      <w:bookmarkStart w:id="6" w:name="n128"/>
      <w:bookmarkStart w:id="7" w:name="n129"/>
      <w:bookmarkStart w:id="8" w:name="n526"/>
      <w:bookmarkEnd w:id="3"/>
      <w:bookmarkEnd w:id="4"/>
      <w:bookmarkEnd w:id="5"/>
      <w:bookmarkEnd w:id="6"/>
      <w:bookmarkEnd w:id="7"/>
      <w:bookmarkEnd w:id="8"/>
      <w:r w:rsidRPr="005B3464">
        <w:rPr>
          <w:lang w:val="uk-UA"/>
        </w:rPr>
        <w:t>- інші види замовлень, визначені внутрішніми документами Торговця, та/або чинним законодавством.</w:t>
      </w:r>
    </w:p>
    <w:p w:rsidR="008F09AC" w:rsidRPr="005B3464" w:rsidRDefault="008F09AC" w:rsidP="008F09AC">
      <w:pPr>
        <w:pStyle w:val="11"/>
        <w:spacing w:after="0" w:line="360" w:lineRule="auto"/>
        <w:ind w:left="0" w:firstLine="708"/>
        <w:contextualSpacing/>
        <w:jc w:val="both"/>
        <w:rPr>
          <w:rFonts w:ascii="Times New Roman" w:hAnsi="Times New Roman"/>
          <w:sz w:val="24"/>
          <w:szCs w:val="24"/>
          <w:lang w:val="uk-UA"/>
        </w:rPr>
      </w:pPr>
      <w:r w:rsidRPr="005B3464">
        <w:rPr>
          <w:rFonts w:ascii="Times New Roman" w:hAnsi="Times New Roman"/>
          <w:sz w:val="24"/>
          <w:szCs w:val="24"/>
          <w:lang w:val="uk-UA"/>
        </w:rPr>
        <w:lastRenderedPageBreak/>
        <w:t>У разі отримання Замовлення  та прийняття його до виконання, Торговець підписує Замовлення, скріплює печаткою (у разі наявності) та передає один з примірників Клієнту обумовленими каналами зв’язку відповідно до цього Генерального договору.</w:t>
      </w:r>
    </w:p>
    <w:p w:rsidR="008F09AC" w:rsidRPr="005B3464" w:rsidRDefault="008F09AC" w:rsidP="008F09AC">
      <w:pPr>
        <w:pStyle w:val="11"/>
        <w:spacing w:after="0" w:line="360" w:lineRule="auto"/>
        <w:ind w:left="0"/>
        <w:contextualSpacing/>
        <w:jc w:val="both"/>
        <w:outlineLvl w:val="1"/>
        <w:rPr>
          <w:rFonts w:ascii="Times New Roman" w:hAnsi="Times New Roman"/>
          <w:b/>
          <w:sz w:val="24"/>
          <w:szCs w:val="24"/>
          <w:lang w:val="uk-UA"/>
        </w:rPr>
      </w:pPr>
      <w:r w:rsidRPr="005B3464">
        <w:rPr>
          <w:rFonts w:ascii="Times New Roman" w:hAnsi="Times New Roman"/>
          <w:b/>
          <w:sz w:val="24"/>
          <w:szCs w:val="24"/>
          <w:lang w:val="uk-UA"/>
        </w:rPr>
        <w:t>5.3. Порядок розрахунків за Замовленням</w:t>
      </w:r>
    </w:p>
    <w:p w:rsidR="008F09AC" w:rsidRPr="005B3464" w:rsidRDefault="008F09AC" w:rsidP="008F09AC">
      <w:pPr>
        <w:pStyle w:val="11"/>
        <w:spacing w:after="0" w:line="360" w:lineRule="auto"/>
        <w:ind w:left="0" w:firstLine="708"/>
        <w:contextualSpacing/>
        <w:jc w:val="both"/>
        <w:rPr>
          <w:rFonts w:ascii="Times New Roman" w:hAnsi="Times New Roman"/>
          <w:sz w:val="24"/>
          <w:szCs w:val="24"/>
          <w:lang w:val="uk-UA"/>
        </w:rPr>
      </w:pPr>
      <w:r w:rsidRPr="005B3464">
        <w:rPr>
          <w:rFonts w:ascii="Times New Roman" w:hAnsi="Times New Roman"/>
          <w:sz w:val="24"/>
          <w:szCs w:val="24"/>
          <w:lang w:val="uk-UA"/>
        </w:rPr>
        <w:t>Розрахунки Сторін у зв‘язку з виконанням Торговцем замовлень Клієнта здійснюються в порядку та строки, обумовлені в Замовленнях Клієнта.</w:t>
      </w:r>
    </w:p>
    <w:p w:rsidR="008F09AC" w:rsidRPr="005B3464" w:rsidRDefault="008F09AC" w:rsidP="008F09AC">
      <w:pPr>
        <w:pStyle w:val="11"/>
        <w:spacing w:after="0" w:line="360" w:lineRule="auto"/>
        <w:ind w:left="0" w:firstLine="708"/>
        <w:contextualSpacing/>
        <w:jc w:val="both"/>
        <w:rPr>
          <w:rFonts w:ascii="Times New Roman" w:hAnsi="Times New Roman"/>
          <w:sz w:val="24"/>
          <w:szCs w:val="24"/>
          <w:lang w:val="uk-UA"/>
        </w:rPr>
      </w:pPr>
      <w:r w:rsidRPr="005B3464">
        <w:rPr>
          <w:rFonts w:ascii="Times New Roman" w:hAnsi="Times New Roman"/>
          <w:sz w:val="24"/>
          <w:szCs w:val="24"/>
          <w:lang w:val="uk-UA"/>
        </w:rPr>
        <w:t>Право власності на фінансові інструменти, що купуються Торговцем для Клієнта у відповідності з Замовленням до цього Генерального договору, набувається Клієнтом з моменту зарахування фінансових інструментів на рахунок Клієнта у цінних паперах в депозитарній установі, якщо чинним законодавством не передбачений інший порядок переходу права власності на фінансові інструменти.</w:t>
      </w:r>
    </w:p>
    <w:p w:rsidR="008F09AC" w:rsidRPr="005B3464" w:rsidRDefault="008F09AC" w:rsidP="008F09AC">
      <w:pPr>
        <w:pStyle w:val="11"/>
        <w:spacing w:after="0" w:line="360" w:lineRule="auto"/>
        <w:ind w:left="0" w:firstLine="708"/>
        <w:contextualSpacing/>
        <w:jc w:val="both"/>
        <w:rPr>
          <w:rFonts w:ascii="Times New Roman" w:hAnsi="Times New Roman"/>
          <w:sz w:val="24"/>
          <w:szCs w:val="24"/>
          <w:lang w:val="uk-UA"/>
        </w:rPr>
      </w:pPr>
      <w:r w:rsidRPr="00585D42">
        <w:rPr>
          <w:rFonts w:ascii="Times New Roman" w:hAnsi="Times New Roman"/>
          <w:sz w:val="24"/>
          <w:szCs w:val="24"/>
          <w:lang w:val="uk-UA"/>
        </w:rPr>
        <w:t>Для виконання конкретного Замовлення на купівлю, в залежності від виду Замовлення та виду послуги та умови розрахунків за Замовленням, Клієнт забезпечує Торговця грошовими коштами у безготівковій формі шляхом перерахування, або надання цим Генеральним договором згоди на договірне списання грошових коштів, на  рахунок Торговця, вказаний у Замовленні. Клієнт доручає Торговцю самостійно перераховувати грошові кошти на Клірингові рахунки для участі у біржових торгах.</w:t>
      </w:r>
    </w:p>
    <w:p w:rsidR="008F09AC" w:rsidRPr="005B3464" w:rsidRDefault="008F09AC" w:rsidP="008F09AC">
      <w:pPr>
        <w:pStyle w:val="11"/>
        <w:spacing w:after="0" w:line="360" w:lineRule="auto"/>
        <w:ind w:left="0" w:firstLine="708"/>
        <w:contextualSpacing/>
        <w:jc w:val="both"/>
        <w:rPr>
          <w:rFonts w:ascii="Times New Roman" w:hAnsi="Times New Roman"/>
          <w:sz w:val="24"/>
          <w:szCs w:val="24"/>
          <w:lang w:val="uk-UA"/>
        </w:rPr>
      </w:pPr>
      <w:r w:rsidRPr="005B3464">
        <w:rPr>
          <w:rFonts w:ascii="Times New Roman" w:hAnsi="Times New Roman"/>
          <w:sz w:val="24"/>
          <w:szCs w:val="24"/>
          <w:lang w:val="uk-UA"/>
        </w:rPr>
        <w:t>Для виконання Замовлення  на продаж Торговець має право переконатися, що фінансові інструменти знаходяться у власності Клієнта та не є обмеженими в обігу за іншими правочинами або обтяженими іншим чином. Для цих цілей Клієнт зобов’язаний надати Торговцю документ, що підтверджує його право власності на фінансові інструменти відповідно до законодавства про депозитарну систему України або іншому порядку передбаченому чинним законодавством.</w:t>
      </w:r>
    </w:p>
    <w:p w:rsidR="008F09AC" w:rsidRDefault="008F09AC" w:rsidP="008F09AC">
      <w:pPr>
        <w:pStyle w:val="11"/>
        <w:spacing w:after="0" w:line="360" w:lineRule="auto"/>
        <w:ind w:left="0" w:firstLine="708"/>
        <w:contextualSpacing/>
        <w:jc w:val="both"/>
        <w:rPr>
          <w:rFonts w:ascii="Times New Roman" w:hAnsi="Times New Roman"/>
          <w:sz w:val="24"/>
          <w:szCs w:val="24"/>
          <w:lang w:val="uk-UA"/>
        </w:rPr>
      </w:pPr>
      <w:r w:rsidRPr="005B3464">
        <w:rPr>
          <w:rFonts w:ascii="Times New Roman" w:hAnsi="Times New Roman"/>
          <w:sz w:val="24"/>
          <w:szCs w:val="24"/>
          <w:lang w:val="uk-UA"/>
        </w:rPr>
        <w:t>Торговець при продажу фінансових інструментів, з метою виконання функцій податкового агента, розраховує інвестиційний дохід операції при відчуженні фінансових інструментів та утримує податки та збори у відповідності до чинного податкового законодавства України із суми грошових коштів, що були отримані при продажу фінансових інструментів Клієнта. Торговець перераховує грошові кошти від продажу фінансових інструментів, за вирахуванням податків та зборів утриманих Торговцем як податковим агентом на рахунок Клієнта, що вказаний в Замовленні не пізніше наступного робочого дня після продажу фінансових інструментів, якщо інше не передбачене умовами Замовлення.</w:t>
      </w:r>
    </w:p>
    <w:p w:rsidR="00335EF8" w:rsidRPr="005B3464" w:rsidRDefault="00335EF8" w:rsidP="00335EF8">
      <w:pPr>
        <w:spacing w:line="360" w:lineRule="auto"/>
        <w:ind w:firstLine="708"/>
        <w:jc w:val="both"/>
        <w:rPr>
          <w:sz w:val="24"/>
          <w:szCs w:val="24"/>
          <w:lang w:val="uk-UA"/>
        </w:rPr>
      </w:pPr>
      <w:r>
        <w:rPr>
          <w:sz w:val="24"/>
          <w:szCs w:val="24"/>
          <w:lang w:val="uk-UA"/>
        </w:rPr>
        <w:t>АКБ</w:t>
      </w:r>
      <w:r w:rsidRPr="005B3464">
        <w:rPr>
          <w:sz w:val="24"/>
          <w:szCs w:val="24"/>
          <w:lang w:val="uk-UA"/>
        </w:rPr>
        <w:t xml:space="preserve"> «</w:t>
      </w:r>
      <w:r>
        <w:rPr>
          <w:sz w:val="24"/>
          <w:szCs w:val="24"/>
          <w:lang w:val="uk-UA"/>
        </w:rPr>
        <w:t>ІНДУСТРІАЛБАНК</w:t>
      </w:r>
      <w:r w:rsidRPr="005B3464">
        <w:rPr>
          <w:sz w:val="24"/>
          <w:szCs w:val="24"/>
          <w:lang w:val="uk-UA"/>
        </w:rPr>
        <w:t>» рекомендує клієнтам перед ухваленням рішення щодо здійснення операцій одержати консультації з питань оподаткування щодо особливостей режиму оподаткування, характерних для конкретного клієнта.</w:t>
      </w:r>
    </w:p>
    <w:p w:rsidR="008F09AC" w:rsidRPr="005B3464" w:rsidRDefault="008F09AC" w:rsidP="008F09AC">
      <w:pPr>
        <w:pStyle w:val="11"/>
        <w:spacing w:after="0" w:line="360" w:lineRule="auto"/>
        <w:ind w:left="0" w:firstLine="708"/>
        <w:contextualSpacing/>
        <w:jc w:val="both"/>
        <w:rPr>
          <w:rFonts w:ascii="Times New Roman" w:hAnsi="Times New Roman"/>
          <w:sz w:val="24"/>
          <w:szCs w:val="24"/>
          <w:lang w:val="uk-UA"/>
        </w:rPr>
      </w:pPr>
      <w:r w:rsidRPr="005B3464">
        <w:rPr>
          <w:rFonts w:ascii="Times New Roman" w:hAnsi="Times New Roman"/>
          <w:sz w:val="24"/>
          <w:szCs w:val="24"/>
          <w:lang w:val="uk-UA"/>
        </w:rPr>
        <w:t>Торговець укладає Договір на виконання Замовлення на організованому ринку або поза організованим ринком згідно з умовами, зазначеними в Замовленні.</w:t>
      </w:r>
    </w:p>
    <w:p w:rsidR="008F09AC" w:rsidRPr="005B3464" w:rsidRDefault="008F09AC" w:rsidP="008F09AC">
      <w:pPr>
        <w:pStyle w:val="11"/>
        <w:spacing w:after="0" w:line="360" w:lineRule="auto"/>
        <w:ind w:left="0" w:firstLine="708"/>
        <w:contextualSpacing/>
        <w:jc w:val="both"/>
        <w:rPr>
          <w:rFonts w:ascii="Times New Roman" w:hAnsi="Times New Roman"/>
          <w:sz w:val="24"/>
          <w:szCs w:val="24"/>
          <w:lang w:val="uk-UA"/>
        </w:rPr>
      </w:pPr>
      <w:r w:rsidRPr="005B3464">
        <w:rPr>
          <w:rFonts w:ascii="Times New Roman" w:hAnsi="Times New Roman"/>
          <w:sz w:val="24"/>
          <w:szCs w:val="24"/>
          <w:lang w:val="uk-UA"/>
        </w:rPr>
        <w:t xml:space="preserve">Торговець надає Клієнту Звіти про виконання Замовлення відповідно до Додатку 8, 11 цього Генерального договору в терміни та в порядку встановленому чинним законодавством узгодженими каналами передачі інформації між Клієнтом та Торговцем. </w:t>
      </w:r>
    </w:p>
    <w:p w:rsidR="008F09AC" w:rsidRPr="005B3464" w:rsidRDefault="008F09AC" w:rsidP="008F09AC">
      <w:pPr>
        <w:pStyle w:val="11"/>
        <w:spacing w:after="0" w:line="360" w:lineRule="auto"/>
        <w:ind w:left="0" w:firstLine="708"/>
        <w:contextualSpacing/>
        <w:jc w:val="both"/>
        <w:rPr>
          <w:rFonts w:ascii="Times New Roman" w:hAnsi="Times New Roman"/>
          <w:sz w:val="24"/>
          <w:szCs w:val="24"/>
          <w:lang w:val="uk-UA"/>
        </w:rPr>
      </w:pPr>
      <w:r w:rsidRPr="005B3464">
        <w:rPr>
          <w:rFonts w:ascii="Times New Roman" w:hAnsi="Times New Roman"/>
          <w:sz w:val="24"/>
          <w:szCs w:val="24"/>
          <w:lang w:val="uk-UA"/>
        </w:rPr>
        <w:t>Після виконання Сторонами зобов’язань згідно Замовлення складається Акт наданих послуг відповідно до Додатку 9, 12 цього Генерального договору.</w:t>
      </w:r>
      <w:bookmarkEnd w:id="1"/>
    </w:p>
    <w:p w:rsidR="008F09AC" w:rsidRPr="005B3464" w:rsidRDefault="008F09AC" w:rsidP="008F09AC">
      <w:pPr>
        <w:pStyle w:val="a7"/>
        <w:keepNext/>
        <w:numPr>
          <w:ilvl w:val="0"/>
          <w:numId w:val="3"/>
        </w:numPr>
        <w:tabs>
          <w:tab w:val="left" w:pos="360"/>
        </w:tabs>
        <w:autoSpaceDE w:val="0"/>
        <w:autoSpaceDN w:val="0"/>
        <w:adjustRightInd w:val="0"/>
        <w:spacing w:line="360" w:lineRule="auto"/>
        <w:ind w:left="0"/>
        <w:jc w:val="both"/>
        <w:rPr>
          <w:b/>
          <w:sz w:val="24"/>
          <w:szCs w:val="24"/>
          <w:lang w:val="uk-UA"/>
        </w:rPr>
      </w:pPr>
      <w:r w:rsidRPr="005B3464">
        <w:rPr>
          <w:b/>
          <w:sz w:val="24"/>
          <w:szCs w:val="24"/>
          <w:lang w:val="uk-UA"/>
        </w:rPr>
        <w:lastRenderedPageBreak/>
        <w:t>Умови припинення договору, відмови від договору, внесення змін, доповнень до договору та дострокового виконання договору:</w:t>
      </w:r>
    </w:p>
    <w:p w:rsidR="008F09AC" w:rsidRPr="005B3464" w:rsidRDefault="008F09AC" w:rsidP="008F09AC">
      <w:pPr>
        <w:spacing w:line="360" w:lineRule="auto"/>
        <w:ind w:firstLine="360"/>
        <w:jc w:val="both"/>
        <w:rPr>
          <w:sz w:val="24"/>
          <w:szCs w:val="24"/>
          <w:lang w:val="uk-UA"/>
        </w:rPr>
      </w:pPr>
      <w:r w:rsidRPr="005B3464">
        <w:rPr>
          <w:sz w:val="24"/>
          <w:szCs w:val="24"/>
          <w:lang w:val="uk-UA"/>
        </w:rPr>
        <w:t>Дія договору може бути припинена за взаємною з</w:t>
      </w:r>
      <w:r w:rsidR="00450778">
        <w:rPr>
          <w:sz w:val="24"/>
          <w:szCs w:val="24"/>
          <w:lang w:val="uk-UA"/>
        </w:rPr>
        <w:t>годою сторін, у випадку відмови К</w:t>
      </w:r>
      <w:r w:rsidRPr="005B3464">
        <w:rPr>
          <w:sz w:val="24"/>
          <w:szCs w:val="24"/>
          <w:lang w:val="uk-UA"/>
        </w:rPr>
        <w:t xml:space="preserve">лієнта від договору, та у інших випадках, передбачених договором. Відмова від договору, зміна умов договору, дострокове виконання договору здійснюються відповідно до договору, за умови проведення взаємних розрахунків та відсутності заборгованості </w:t>
      </w:r>
      <w:r w:rsidR="00450778">
        <w:rPr>
          <w:sz w:val="24"/>
          <w:szCs w:val="24"/>
          <w:lang w:val="uk-UA"/>
        </w:rPr>
        <w:t>К</w:t>
      </w:r>
      <w:r w:rsidRPr="005B3464">
        <w:rPr>
          <w:sz w:val="24"/>
          <w:szCs w:val="24"/>
          <w:lang w:val="uk-UA"/>
        </w:rPr>
        <w:t xml:space="preserve">лієнта за надані послуги. Порядок проведення взаємних розрахунків зазначається в проекті відповідного договору, який надається </w:t>
      </w:r>
      <w:r w:rsidR="00450778">
        <w:rPr>
          <w:sz w:val="24"/>
          <w:szCs w:val="24"/>
          <w:lang w:val="uk-UA"/>
        </w:rPr>
        <w:t>К</w:t>
      </w:r>
      <w:r w:rsidRPr="005B3464">
        <w:rPr>
          <w:sz w:val="24"/>
          <w:szCs w:val="24"/>
          <w:lang w:val="uk-UA"/>
        </w:rPr>
        <w:t>лієнту до його укладання.</w:t>
      </w:r>
    </w:p>
    <w:p w:rsidR="008F09AC" w:rsidRPr="005B3464" w:rsidRDefault="008F09AC" w:rsidP="008F09AC">
      <w:pPr>
        <w:pStyle w:val="a7"/>
        <w:keepNext/>
        <w:numPr>
          <w:ilvl w:val="0"/>
          <w:numId w:val="3"/>
        </w:numPr>
        <w:tabs>
          <w:tab w:val="left" w:pos="360"/>
        </w:tabs>
        <w:autoSpaceDE w:val="0"/>
        <w:autoSpaceDN w:val="0"/>
        <w:adjustRightInd w:val="0"/>
        <w:spacing w:line="360" w:lineRule="auto"/>
        <w:ind w:left="0"/>
        <w:jc w:val="both"/>
        <w:rPr>
          <w:b/>
          <w:sz w:val="24"/>
          <w:szCs w:val="24"/>
          <w:lang w:val="uk-UA"/>
        </w:rPr>
      </w:pPr>
      <w:r w:rsidRPr="005B3464">
        <w:rPr>
          <w:b/>
          <w:sz w:val="24"/>
          <w:szCs w:val="24"/>
          <w:lang w:val="uk-UA"/>
        </w:rPr>
        <w:t>Інформацією про загальний характер та/або джерела потенційного конфлікту інтересів</w:t>
      </w:r>
    </w:p>
    <w:p w:rsidR="008F09AC" w:rsidRPr="005B3464" w:rsidRDefault="008F09AC" w:rsidP="008F09AC">
      <w:pPr>
        <w:pStyle w:val="a7"/>
        <w:tabs>
          <w:tab w:val="left" w:pos="284"/>
          <w:tab w:val="left" w:pos="426"/>
          <w:tab w:val="left" w:pos="567"/>
          <w:tab w:val="left" w:pos="993"/>
        </w:tabs>
        <w:spacing w:line="360" w:lineRule="auto"/>
        <w:ind w:left="0"/>
        <w:jc w:val="both"/>
        <w:rPr>
          <w:sz w:val="24"/>
          <w:szCs w:val="24"/>
          <w:lang w:val="uk-UA"/>
        </w:rPr>
      </w:pPr>
      <w:r w:rsidRPr="005B3464">
        <w:rPr>
          <w:sz w:val="24"/>
          <w:szCs w:val="24"/>
          <w:lang w:val="uk-UA"/>
        </w:rPr>
        <w:tab/>
      </w:r>
      <w:r w:rsidRPr="00CC55D3">
        <w:rPr>
          <w:sz w:val="24"/>
          <w:szCs w:val="24"/>
          <w:lang w:val="uk-UA"/>
        </w:rPr>
        <w:t xml:space="preserve">Політика </w:t>
      </w:r>
      <w:r w:rsidR="00450778" w:rsidRPr="00CC55D3">
        <w:rPr>
          <w:sz w:val="24"/>
          <w:szCs w:val="24"/>
          <w:lang w:val="uk-UA"/>
        </w:rPr>
        <w:t>запобігання</w:t>
      </w:r>
      <w:r w:rsidRPr="00CC55D3">
        <w:rPr>
          <w:sz w:val="24"/>
          <w:szCs w:val="24"/>
          <w:lang w:val="uk-UA"/>
        </w:rPr>
        <w:t xml:space="preserve"> конфлікт</w:t>
      </w:r>
      <w:r w:rsidR="00450778" w:rsidRPr="00CC55D3">
        <w:rPr>
          <w:sz w:val="24"/>
          <w:szCs w:val="24"/>
          <w:lang w:val="uk-UA"/>
        </w:rPr>
        <w:t>ам</w:t>
      </w:r>
      <w:r w:rsidRPr="00CC55D3">
        <w:rPr>
          <w:sz w:val="24"/>
          <w:szCs w:val="24"/>
          <w:lang w:val="uk-UA"/>
        </w:rPr>
        <w:t xml:space="preserve"> інтересів </w:t>
      </w:r>
      <w:r w:rsidR="00450778" w:rsidRPr="00CC55D3">
        <w:rPr>
          <w:sz w:val="24"/>
          <w:szCs w:val="24"/>
          <w:lang w:val="uk-UA"/>
        </w:rPr>
        <w:t xml:space="preserve">в </w:t>
      </w:r>
      <w:r w:rsidRPr="00CC55D3">
        <w:rPr>
          <w:sz w:val="24"/>
          <w:szCs w:val="24"/>
          <w:lang w:val="uk-UA"/>
        </w:rPr>
        <w:t>АКБ «ІНДУСТРІАЛБАНК», або</w:t>
      </w:r>
      <w:r w:rsidRPr="005B3464">
        <w:rPr>
          <w:sz w:val="24"/>
          <w:szCs w:val="24"/>
          <w:lang w:val="uk-UA"/>
        </w:rPr>
        <w:t xml:space="preserve"> документ прийнятий </w:t>
      </w:r>
      <w:r w:rsidR="00450778">
        <w:rPr>
          <w:sz w:val="24"/>
          <w:szCs w:val="24"/>
          <w:lang w:val="uk-UA"/>
        </w:rPr>
        <w:t>їй</w:t>
      </w:r>
      <w:r w:rsidRPr="005B3464">
        <w:rPr>
          <w:sz w:val="24"/>
          <w:szCs w:val="24"/>
          <w:lang w:val="uk-UA"/>
        </w:rPr>
        <w:t xml:space="preserve"> на зміну, є основним документ Торгівця що передбачає принципи та концептуальні поради для Торгівця у виявленні, управлінні та недопущенні конфлікту інтересів та мінімізації ризиків.</w:t>
      </w:r>
    </w:p>
    <w:p w:rsidR="008F09AC" w:rsidRPr="005B3464" w:rsidRDefault="008F09AC" w:rsidP="008F09AC">
      <w:pPr>
        <w:pStyle w:val="a7"/>
        <w:tabs>
          <w:tab w:val="left" w:pos="284"/>
          <w:tab w:val="left" w:pos="426"/>
          <w:tab w:val="left" w:pos="567"/>
          <w:tab w:val="left" w:pos="993"/>
        </w:tabs>
        <w:spacing w:line="360" w:lineRule="auto"/>
        <w:ind w:left="0"/>
        <w:jc w:val="both"/>
        <w:rPr>
          <w:sz w:val="24"/>
          <w:szCs w:val="24"/>
          <w:lang w:val="uk-UA"/>
        </w:rPr>
      </w:pPr>
      <w:r w:rsidRPr="005B3464">
        <w:rPr>
          <w:sz w:val="24"/>
          <w:szCs w:val="24"/>
          <w:lang w:val="uk-UA"/>
        </w:rPr>
        <w:tab/>
        <w:t>Політика описує процедури, спрямовані на врегулювання та запобігання конфлікту інтересів при провадженні професійної діяльності на ринк</w:t>
      </w:r>
      <w:r w:rsidR="00450778">
        <w:rPr>
          <w:sz w:val="24"/>
          <w:szCs w:val="24"/>
          <w:lang w:val="uk-UA"/>
        </w:rPr>
        <w:t>ах капіталу</w:t>
      </w:r>
      <w:r w:rsidRPr="005B3464">
        <w:rPr>
          <w:sz w:val="24"/>
          <w:szCs w:val="24"/>
          <w:lang w:val="uk-UA"/>
        </w:rPr>
        <w:t>, та заходи, яких слід вживати для досягнення цієї мети та містить пункти з наступного переліку, які необхідні для забезпечення потрібного ступеня незалежності:</w:t>
      </w:r>
    </w:p>
    <w:p w:rsidR="008F09AC" w:rsidRPr="005B3464" w:rsidRDefault="008F09AC" w:rsidP="008F09AC">
      <w:pPr>
        <w:numPr>
          <w:ilvl w:val="0"/>
          <w:numId w:val="1"/>
        </w:numPr>
        <w:shd w:val="clear" w:color="auto" w:fill="FFFFFF"/>
        <w:spacing w:line="360" w:lineRule="auto"/>
        <w:ind w:left="0" w:hanging="357"/>
        <w:jc w:val="both"/>
        <w:rPr>
          <w:sz w:val="24"/>
          <w:szCs w:val="24"/>
          <w:lang w:val="uk-UA"/>
        </w:rPr>
      </w:pPr>
      <w:r w:rsidRPr="005B3464">
        <w:rPr>
          <w:sz w:val="24"/>
          <w:szCs w:val="24"/>
          <w:lang w:val="uk-UA"/>
        </w:rPr>
        <w:t>ефективні процедури, щоб запобігти або контролювати обмін інформацією між відповідними особами, які займаються діяльністю, яка пов'язана з ризиком конфлікту інтересів, якщо обмін цією інформацією може зашкодити інтересам одного або кількох клієнтів;</w:t>
      </w:r>
    </w:p>
    <w:p w:rsidR="008F09AC" w:rsidRPr="005B3464" w:rsidRDefault="008F09AC" w:rsidP="008F09AC">
      <w:pPr>
        <w:numPr>
          <w:ilvl w:val="0"/>
          <w:numId w:val="1"/>
        </w:numPr>
        <w:shd w:val="clear" w:color="auto" w:fill="FFFFFF"/>
        <w:spacing w:line="360" w:lineRule="auto"/>
        <w:ind w:left="0" w:hanging="357"/>
        <w:jc w:val="both"/>
        <w:rPr>
          <w:sz w:val="24"/>
          <w:szCs w:val="24"/>
          <w:lang w:val="uk-UA"/>
        </w:rPr>
      </w:pPr>
      <w:r w:rsidRPr="005B3464">
        <w:rPr>
          <w:sz w:val="24"/>
          <w:szCs w:val="24"/>
          <w:lang w:val="uk-UA"/>
        </w:rPr>
        <w:t xml:space="preserve">окремий нагляд за відповідними особами, основні функції яких передбачають здійснення діяльності від імені клієнтів або надання послуг клієнтам, інтереси яких можуть суперечити, або які іншим чином представляють різні інтереси, які можуть суперечити, в тому числі інтересам </w:t>
      </w:r>
      <w:r w:rsidR="00450778">
        <w:rPr>
          <w:sz w:val="24"/>
          <w:szCs w:val="24"/>
          <w:lang w:val="uk-UA"/>
        </w:rPr>
        <w:t>Т</w:t>
      </w:r>
      <w:r w:rsidRPr="005B3464">
        <w:rPr>
          <w:sz w:val="24"/>
          <w:szCs w:val="24"/>
          <w:lang w:val="uk-UA"/>
        </w:rPr>
        <w:t>орговця;</w:t>
      </w:r>
    </w:p>
    <w:p w:rsidR="008F09AC" w:rsidRPr="005B3464" w:rsidRDefault="008F09AC" w:rsidP="008F09AC">
      <w:pPr>
        <w:numPr>
          <w:ilvl w:val="0"/>
          <w:numId w:val="1"/>
        </w:numPr>
        <w:shd w:val="clear" w:color="auto" w:fill="FFFFFF"/>
        <w:spacing w:line="360" w:lineRule="auto"/>
        <w:ind w:left="0" w:hanging="357"/>
        <w:jc w:val="both"/>
        <w:rPr>
          <w:sz w:val="24"/>
          <w:szCs w:val="24"/>
          <w:lang w:val="uk-UA"/>
        </w:rPr>
      </w:pPr>
      <w:r w:rsidRPr="005B3464">
        <w:rPr>
          <w:sz w:val="24"/>
          <w:szCs w:val="24"/>
          <w:lang w:val="uk-UA"/>
        </w:rPr>
        <w:t>усунення будь-якого прямого зв'язку між винагородою відповідних осіб, які головним чином займаються однією діяльністю, та винагородою або доходами, отриманими іншими відповідними особами, які головним чином займаються іншою діяльністю, якщо може виникнути конфлікт інтересів у відношенні такої діяльності;</w:t>
      </w:r>
    </w:p>
    <w:p w:rsidR="008F09AC" w:rsidRPr="005B3464" w:rsidRDefault="008F09AC" w:rsidP="008F09AC">
      <w:pPr>
        <w:numPr>
          <w:ilvl w:val="0"/>
          <w:numId w:val="1"/>
        </w:numPr>
        <w:shd w:val="clear" w:color="auto" w:fill="FFFFFF"/>
        <w:spacing w:line="360" w:lineRule="auto"/>
        <w:ind w:left="0" w:hanging="357"/>
        <w:jc w:val="both"/>
        <w:rPr>
          <w:sz w:val="24"/>
          <w:szCs w:val="24"/>
          <w:lang w:val="uk-UA"/>
        </w:rPr>
      </w:pPr>
      <w:r w:rsidRPr="005B3464">
        <w:rPr>
          <w:sz w:val="24"/>
          <w:szCs w:val="24"/>
          <w:lang w:val="uk-UA"/>
        </w:rPr>
        <w:t>заходи, спрямовані на запобігання або обмеження неприпустимого впливу будь-якої особи на способи у які відповідна особа надає інвестиційні послуги чи провадить таку діяльність;</w:t>
      </w:r>
    </w:p>
    <w:p w:rsidR="008F09AC" w:rsidRPr="005B3464" w:rsidRDefault="008F09AC" w:rsidP="008F09AC">
      <w:pPr>
        <w:numPr>
          <w:ilvl w:val="0"/>
          <w:numId w:val="1"/>
        </w:numPr>
        <w:shd w:val="clear" w:color="auto" w:fill="FFFFFF"/>
        <w:spacing w:line="360" w:lineRule="auto"/>
        <w:ind w:left="0" w:hanging="357"/>
        <w:jc w:val="both"/>
        <w:rPr>
          <w:sz w:val="24"/>
          <w:szCs w:val="24"/>
          <w:lang w:val="uk-UA"/>
        </w:rPr>
      </w:pPr>
      <w:r w:rsidRPr="005B3464">
        <w:rPr>
          <w:sz w:val="24"/>
          <w:szCs w:val="24"/>
          <w:lang w:val="uk-UA"/>
        </w:rPr>
        <w:t>заходи, спрямовані на запобігання або контроль одночасного або послідовного залучення відповідної особи до інвестиційних послуг чи діяльності, якщо таке залучення може погіршити належне управління конфліктами інтересів.</w:t>
      </w:r>
    </w:p>
    <w:p w:rsidR="008F09AC" w:rsidRPr="005B3464" w:rsidRDefault="008F09AC" w:rsidP="008F09AC">
      <w:pPr>
        <w:pStyle w:val="a7"/>
        <w:tabs>
          <w:tab w:val="left" w:pos="284"/>
          <w:tab w:val="left" w:pos="426"/>
          <w:tab w:val="left" w:pos="567"/>
          <w:tab w:val="left" w:pos="993"/>
        </w:tabs>
        <w:spacing w:line="360" w:lineRule="auto"/>
        <w:ind w:left="0"/>
        <w:jc w:val="both"/>
        <w:rPr>
          <w:sz w:val="24"/>
          <w:szCs w:val="24"/>
          <w:lang w:val="uk-UA"/>
        </w:rPr>
      </w:pPr>
      <w:r w:rsidRPr="005B3464">
        <w:rPr>
          <w:sz w:val="24"/>
          <w:szCs w:val="24"/>
          <w:lang w:val="uk-UA"/>
        </w:rPr>
        <w:tab/>
        <w:t>Для визначення видів конфлікту інтересів, що виникають при наданні інвестиційних послуг, існування яких можуть зашкодити інтересам клієнта, Торговец</w:t>
      </w:r>
      <w:r w:rsidR="00450778">
        <w:rPr>
          <w:sz w:val="24"/>
          <w:szCs w:val="24"/>
          <w:lang w:val="uk-UA"/>
        </w:rPr>
        <w:t>ь повинен враховувати, чи може Т</w:t>
      </w:r>
      <w:r w:rsidRPr="005B3464">
        <w:rPr>
          <w:sz w:val="24"/>
          <w:szCs w:val="24"/>
          <w:lang w:val="uk-UA"/>
        </w:rPr>
        <w:t xml:space="preserve">орговець, відповідна особа або особа, яка має прямий чи опосередкований контроль над </w:t>
      </w:r>
      <w:r w:rsidR="00450778">
        <w:rPr>
          <w:sz w:val="24"/>
          <w:szCs w:val="24"/>
          <w:lang w:val="uk-UA"/>
        </w:rPr>
        <w:t>Т</w:t>
      </w:r>
      <w:r w:rsidRPr="005B3464">
        <w:rPr>
          <w:sz w:val="24"/>
          <w:szCs w:val="24"/>
          <w:lang w:val="uk-UA"/>
        </w:rPr>
        <w:t>орговцем, потрапити в будь-яку з таких ситуацій:</w:t>
      </w:r>
    </w:p>
    <w:p w:rsidR="008F09AC" w:rsidRPr="005B3464" w:rsidRDefault="00450778" w:rsidP="008F09AC">
      <w:pPr>
        <w:numPr>
          <w:ilvl w:val="0"/>
          <w:numId w:val="1"/>
        </w:numPr>
        <w:shd w:val="clear" w:color="auto" w:fill="FFFFFF"/>
        <w:spacing w:line="360" w:lineRule="auto"/>
        <w:ind w:left="0"/>
        <w:jc w:val="both"/>
        <w:rPr>
          <w:sz w:val="24"/>
          <w:szCs w:val="24"/>
          <w:lang w:val="uk-UA"/>
        </w:rPr>
      </w:pPr>
      <w:r>
        <w:rPr>
          <w:sz w:val="24"/>
          <w:szCs w:val="24"/>
          <w:lang w:val="uk-UA"/>
        </w:rPr>
        <w:t>Т</w:t>
      </w:r>
      <w:r w:rsidR="008F09AC" w:rsidRPr="005B3464">
        <w:rPr>
          <w:sz w:val="24"/>
          <w:szCs w:val="24"/>
          <w:lang w:val="uk-UA"/>
        </w:rPr>
        <w:t xml:space="preserve">орговець або зазначена особа зможуть отримати фінансову вигоду або уникнути фінансових збитків за рахунок </w:t>
      </w:r>
      <w:r w:rsidR="00CC55D3">
        <w:rPr>
          <w:sz w:val="24"/>
          <w:szCs w:val="24"/>
          <w:lang w:val="uk-UA"/>
        </w:rPr>
        <w:t>К</w:t>
      </w:r>
      <w:r w:rsidR="008F09AC" w:rsidRPr="005B3464">
        <w:rPr>
          <w:sz w:val="24"/>
          <w:szCs w:val="24"/>
          <w:lang w:val="uk-UA"/>
        </w:rPr>
        <w:t>лієнта;</w:t>
      </w:r>
    </w:p>
    <w:p w:rsidR="008F09AC" w:rsidRPr="005B3464" w:rsidRDefault="00CC55D3" w:rsidP="008F09AC">
      <w:pPr>
        <w:numPr>
          <w:ilvl w:val="0"/>
          <w:numId w:val="1"/>
        </w:numPr>
        <w:shd w:val="clear" w:color="auto" w:fill="FFFFFF"/>
        <w:spacing w:line="360" w:lineRule="auto"/>
        <w:ind w:left="0"/>
        <w:jc w:val="both"/>
        <w:rPr>
          <w:sz w:val="24"/>
          <w:szCs w:val="24"/>
          <w:lang w:val="uk-UA"/>
        </w:rPr>
      </w:pPr>
      <w:r>
        <w:rPr>
          <w:sz w:val="24"/>
          <w:szCs w:val="24"/>
          <w:lang w:val="uk-UA"/>
        </w:rPr>
        <w:t>Т</w:t>
      </w:r>
      <w:r w:rsidR="008F09AC" w:rsidRPr="005B3464">
        <w:rPr>
          <w:sz w:val="24"/>
          <w:szCs w:val="24"/>
          <w:lang w:val="uk-UA"/>
        </w:rPr>
        <w:t xml:space="preserve">орговець або зазначена особа має інтерес у результаті надання послуг </w:t>
      </w:r>
      <w:r>
        <w:rPr>
          <w:sz w:val="24"/>
          <w:szCs w:val="24"/>
          <w:lang w:val="uk-UA"/>
        </w:rPr>
        <w:t>К</w:t>
      </w:r>
      <w:r w:rsidR="008F09AC" w:rsidRPr="005B3464">
        <w:rPr>
          <w:sz w:val="24"/>
          <w:szCs w:val="24"/>
          <w:lang w:val="uk-UA"/>
        </w:rPr>
        <w:t xml:space="preserve">лієнту або у результаті операції, здійсненої від імені </w:t>
      </w:r>
      <w:r>
        <w:rPr>
          <w:sz w:val="24"/>
          <w:szCs w:val="24"/>
          <w:lang w:val="uk-UA"/>
        </w:rPr>
        <w:t>К</w:t>
      </w:r>
      <w:r w:rsidR="008F09AC" w:rsidRPr="005B3464">
        <w:rPr>
          <w:sz w:val="24"/>
          <w:szCs w:val="24"/>
          <w:lang w:val="uk-UA"/>
        </w:rPr>
        <w:t xml:space="preserve">лієнта, який відрізняється від інтересу </w:t>
      </w:r>
      <w:r>
        <w:rPr>
          <w:sz w:val="24"/>
          <w:szCs w:val="24"/>
          <w:lang w:val="uk-UA"/>
        </w:rPr>
        <w:t>К</w:t>
      </w:r>
      <w:r w:rsidR="008F09AC" w:rsidRPr="005B3464">
        <w:rPr>
          <w:sz w:val="24"/>
          <w:szCs w:val="24"/>
          <w:lang w:val="uk-UA"/>
        </w:rPr>
        <w:t>лієнта в результаті такої операції;</w:t>
      </w:r>
    </w:p>
    <w:p w:rsidR="008F09AC" w:rsidRPr="005B3464" w:rsidRDefault="00CC55D3" w:rsidP="008F09AC">
      <w:pPr>
        <w:numPr>
          <w:ilvl w:val="0"/>
          <w:numId w:val="1"/>
        </w:numPr>
        <w:shd w:val="clear" w:color="auto" w:fill="FFFFFF"/>
        <w:spacing w:line="360" w:lineRule="auto"/>
        <w:ind w:left="0"/>
        <w:jc w:val="both"/>
        <w:rPr>
          <w:sz w:val="24"/>
          <w:szCs w:val="24"/>
          <w:lang w:val="uk-UA"/>
        </w:rPr>
      </w:pPr>
      <w:r>
        <w:rPr>
          <w:sz w:val="24"/>
          <w:szCs w:val="24"/>
          <w:lang w:val="uk-UA"/>
        </w:rPr>
        <w:t>Т</w:t>
      </w:r>
      <w:r w:rsidR="008F09AC" w:rsidRPr="005B3464">
        <w:rPr>
          <w:sz w:val="24"/>
          <w:szCs w:val="24"/>
          <w:lang w:val="uk-UA"/>
        </w:rPr>
        <w:t xml:space="preserve">орговець або зазначена особа мають фінансовий чи інший стимул надати перевагу інтересам іншого </w:t>
      </w:r>
      <w:r>
        <w:rPr>
          <w:sz w:val="24"/>
          <w:szCs w:val="24"/>
          <w:lang w:val="uk-UA"/>
        </w:rPr>
        <w:t>К</w:t>
      </w:r>
      <w:r w:rsidR="008F09AC" w:rsidRPr="005B3464">
        <w:rPr>
          <w:sz w:val="24"/>
          <w:szCs w:val="24"/>
          <w:lang w:val="uk-UA"/>
        </w:rPr>
        <w:t xml:space="preserve">лієнта або групи клієнтів над інтересами </w:t>
      </w:r>
      <w:r>
        <w:rPr>
          <w:sz w:val="24"/>
          <w:szCs w:val="24"/>
          <w:lang w:val="uk-UA"/>
        </w:rPr>
        <w:t>К</w:t>
      </w:r>
      <w:r w:rsidR="008F09AC" w:rsidRPr="005B3464">
        <w:rPr>
          <w:sz w:val="24"/>
          <w:szCs w:val="24"/>
          <w:lang w:val="uk-UA"/>
        </w:rPr>
        <w:t>лієнта;</w:t>
      </w:r>
    </w:p>
    <w:p w:rsidR="008F09AC" w:rsidRPr="005B3464" w:rsidRDefault="00CC55D3" w:rsidP="008F09AC">
      <w:pPr>
        <w:numPr>
          <w:ilvl w:val="0"/>
          <w:numId w:val="1"/>
        </w:numPr>
        <w:shd w:val="clear" w:color="auto" w:fill="FFFFFF"/>
        <w:spacing w:line="360" w:lineRule="auto"/>
        <w:ind w:left="0"/>
        <w:jc w:val="both"/>
        <w:rPr>
          <w:sz w:val="24"/>
          <w:szCs w:val="24"/>
          <w:lang w:val="uk-UA"/>
        </w:rPr>
      </w:pPr>
      <w:r>
        <w:rPr>
          <w:sz w:val="24"/>
          <w:szCs w:val="24"/>
          <w:lang w:val="uk-UA"/>
        </w:rPr>
        <w:lastRenderedPageBreak/>
        <w:t>Т</w:t>
      </w:r>
      <w:r w:rsidR="008F09AC" w:rsidRPr="005B3464">
        <w:rPr>
          <w:sz w:val="24"/>
          <w:szCs w:val="24"/>
          <w:lang w:val="uk-UA"/>
        </w:rPr>
        <w:t xml:space="preserve">орговець або зазначена особа здійснюють такий самий вид діяльності, що й </w:t>
      </w:r>
      <w:r>
        <w:rPr>
          <w:sz w:val="24"/>
          <w:szCs w:val="24"/>
          <w:lang w:val="uk-UA"/>
        </w:rPr>
        <w:t>К</w:t>
      </w:r>
      <w:r w:rsidR="008F09AC" w:rsidRPr="005B3464">
        <w:rPr>
          <w:sz w:val="24"/>
          <w:szCs w:val="24"/>
          <w:lang w:val="uk-UA"/>
        </w:rPr>
        <w:t>лієнт;</w:t>
      </w:r>
    </w:p>
    <w:p w:rsidR="008F09AC" w:rsidRPr="005B3464" w:rsidRDefault="00CC55D3" w:rsidP="008F09AC">
      <w:pPr>
        <w:numPr>
          <w:ilvl w:val="0"/>
          <w:numId w:val="1"/>
        </w:numPr>
        <w:shd w:val="clear" w:color="auto" w:fill="FFFFFF"/>
        <w:spacing w:line="360" w:lineRule="auto"/>
        <w:ind w:left="0"/>
        <w:jc w:val="both"/>
        <w:rPr>
          <w:sz w:val="24"/>
          <w:szCs w:val="24"/>
          <w:lang w:val="uk-UA"/>
        </w:rPr>
      </w:pPr>
      <w:r>
        <w:rPr>
          <w:sz w:val="24"/>
          <w:szCs w:val="24"/>
          <w:lang w:val="uk-UA"/>
        </w:rPr>
        <w:t>Т</w:t>
      </w:r>
      <w:r w:rsidR="008F09AC" w:rsidRPr="005B3464">
        <w:rPr>
          <w:sz w:val="24"/>
          <w:szCs w:val="24"/>
          <w:lang w:val="uk-UA"/>
        </w:rPr>
        <w:t xml:space="preserve">орговець або зазначена особа отримує або отримає від особи, яка не є </w:t>
      </w:r>
      <w:r>
        <w:rPr>
          <w:sz w:val="24"/>
          <w:szCs w:val="24"/>
          <w:lang w:val="uk-UA"/>
        </w:rPr>
        <w:t>К</w:t>
      </w:r>
      <w:r w:rsidR="008F09AC" w:rsidRPr="005B3464">
        <w:rPr>
          <w:sz w:val="24"/>
          <w:szCs w:val="24"/>
          <w:lang w:val="uk-UA"/>
        </w:rPr>
        <w:t xml:space="preserve">лієнтом, стимул у зв'язку з послугою, наданою </w:t>
      </w:r>
      <w:r>
        <w:rPr>
          <w:sz w:val="24"/>
          <w:szCs w:val="24"/>
          <w:lang w:val="uk-UA"/>
        </w:rPr>
        <w:t>К</w:t>
      </w:r>
      <w:r w:rsidR="008F09AC" w:rsidRPr="005B3464">
        <w:rPr>
          <w:sz w:val="24"/>
          <w:szCs w:val="24"/>
          <w:lang w:val="uk-UA"/>
        </w:rPr>
        <w:t>лієнту, у вигляді грошової або негрошової вигоди або послуг.</w:t>
      </w:r>
    </w:p>
    <w:p w:rsidR="00CC55D3" w:rsidRPr="00CC55D3" w:rsidRDefault="008F09AC" w:rsidP="008F09AC">
      <w:pPr>
        <w:pStyle w:val="a7"/>
        <w:keepNext/>
        <w:numPr>
          <w:ilvl w:val="0"/>
          <w:numId w:val="3"/>
        </w:numPr>
        <w:tabs>
          <w:tab w:val="left" w:pos="360"/>
        </w:tabs>
        <w:autoSpaceDE w:val="0"/>
        <w:autoSpaceDN w:val="0"/>
        <w:adjustRightInd w:val="0"/>
        <w:spacing w:line="360" w:lineRule="auto"/>
        <w:ind w:left="0" w:firstLine="360"/>
        <w:jc w:val="both"/>
        <w:rPr>
          <w:sz w:val="24"/>
          <w:szCs w:val="24"/>
          <w:lang w:val="uk-UA"/>
        </w:rPr>
      </w:pPr>
      <w:r w:rsidRPr="00CC55D3">
        <w:rPr>
          <w:b/>
          <w:sz w:val="24"/>
          <w:szCs w:val="24"/>
          <w:lang w:val="uk-UA"/>
        </w:rPr>
        <w:t>Декларація про фактори ризику, що пов’язані із здійсненням діяльності на ринк</w:t>
      </w:r>
      <w:r w:rsidR="00CC55D3">
        <w:rPr>
          <w:b/>
          <w:sz w:val="24"/>
          <w:szCs w:val="24"/>
          <w:lang w:val="uk-UA"/>
        </w:rPr>
        <w:t>ах капіталу.</w:t>
      </w:r>
    </w:p>
    <w:p w:rsidR="008F09AC" w:rsidRPr="00CC55D3" w:rsidRDefault="00CC55D3" w:rsidP="00CC55D3">
      <w:pPr>
        <w:keepNext/>
        <w:tabs>
          <w:tab w:val="left" w:pos="0"/>
        </w:tabs>
        <w:autoSpaceDE w:val="0"/>
        <w:autoSpaceDN w:val="0"/>
        <w:adjustRightInd w:val="0"/>
        <w:spacing w:line="360" w:lineRule="auto"/>
        <w:jc w:val="both"/>
        <w:rPr>
          <w:sz w:val="24"/>
          <w:szCs w:val="24"/>
          <w:lang w:val="uk-UA"/>
        </w:rPr>
      </w:pPr>
      <w:r w:rsidRPr="00CC55D3">
        <w:rPr>
          <w:b/>
          <w:sz w:val="24"/>
          <w:szCs w:val="24"/>
          <w:lang w:val="uk-UA"/>
        </w:rPr>
        <w:t xml:space="preserve"> </w:t>
      </w:r>
      <w:r w:rsidR="008F09AC" w:rsidRPr="00CC55D3">
        <w:rPr>
          <w:sz w:val="24"/>
          <w:szCs w:val="24"/>
          <w:lang w:val="uk-UA"/>
        </w:rPr>
        <w:t>Цією декларацією Банк інформує Клієнта про фактори ризиків, що пов’язані зі здійсненням операцій на ринк</w:t>
      </w:r>
      <w:r w:rsidR="002A3DA2">
        <w:rPr>
          <w:sz w:val="24"/>
          <w:szCs w:val="24"/>
          <w:lang w:val="uk-UA"/>
        </w:rPr>
        <w:t>ах капіталу</w:t>
      </w:r>
      <w:r w:rsidR="008F09AC" w:rsidRPr="00CC55D3">
        <w:rPr>
          <w:sz w:val="24"/>
          <w:szCs w:val="24"/>
          <w:lang w:val="uk-UA"/>
        </w:rPr>
        <w:t xml:space="preserve"> (надалі – «Декларація»). Під факторами ризиків розуміються обставини, які можуть призвести до часткової або повної втрати грошових коштів Клієнта, у тому числі за рахунок зниження вартості цінних паперів та/або інших фінансових інструментів.</w:t>
      </w:r>
    </w:p>
    <w:p w:rsidR="008F09AC" w:rsidRPr="005B3464" w:rsidRDefault="008F09AC" w:rsidP="00CC55D3">
      <w:pPr>
        <w:tabs>
          <w:tab w:val="left" w:pos="0"/>
        </w:tabs>
        <w:spacing w:line="360" w:lineRule="auto"/>
        <w:jc w:val="both"/>
        <w:rPr>
          <w:sz w:val="24"/>
          <w:szCs w:val="24"/>
          <w:lang w:val="uk-UA"/>
        </w:rPr>
      </w:pPr>
      <w:r w:rsidRPr="005B3464">
        <w:rPr>
          <w:sz w:val="24"/>
          <w:szCs w:val="24"/>
          <w:lang w:val="uk-UA"/>
        </w:rPr>
        <w:t xml:space="preserve">До фінансових ризиків, що пов’язані зі здійсненням операцій на </w:t>
      </w:r>
      <w:r w:rsidR="004C5D84">
        <w:rPr>
          <w:sz w:val="24"/>
          <w:szCs w:val="24"/>
          <w:lang w:val="uk-UA"/>
        </w:rPr>
        <w:t>ринках капіталу</w:t>
      </w:r>
      <w:r w:rsidRPr="005B3464">
        <w:rPr>
          <w:sz w:val="24"/>
          <w:szCs w:val="24"/>
          <w:lang w:val="uk-UA"/>
        </w:rPr>
        <w:t>, зокрема, відносяться:</w:t>
      </w:r>
    </w:p>
    <w:p w:rsidR="008F09AC" w:rsidRPr="005B3464" w:rsidRDefault="008F09AC" w:rsidP="00CC55D3">
      <w:pPr>
        <w:tabs>
          <w:tab w:val="left" w:pos="0"/>
          <w:tab w:val="num" w:pos="720"/>
        </w:tabs>
        <w:spacing w:line="360" w:lineRule="auto"/>
        <w:jc w:val="both"/>
        <w:rPr>
          <w:sz w:val="24"/>
          <w:szCs w:val="24"/>
          <w:lang w:val="uk-UA"/>
        </w:rPr>
      </w:pPr>
      <w:r w:rsidRPr="005B3464">
        <w:rPr>
          <w:sz w:val="24"/>
          <w:szCs w:val="24"/>
          <w:lang w:val="uk-UA"/>
        </w:rPr>
        <w:t>Ринковий ризик – можливість негативної зміни вартості активів (портфеля активів) внаслідок несприятливої зміни ринкових цін. До ринкових ризиків відносяться:</w:t>
      </w:r>
    </w:p>
    <w:p w:rsidR="008F09AC" w:rsidRPr="005B3464" w:rsidRDefault="008F09AC" w:rsidP="008F09AC">
      <w:pPr>
        <w:pStyle w:val="a7"/>
        <w:numPr>
          <w:ilvl w:val="0"/>
          <w:numId w:val="5"/>
        </w:numPr>
        <w:spacing w:line="360" w:lineRule="auto"/>
        <w:ind w:left="0"/>
        <w:jc w:val="both"/>
        <w:rPr>
          <w:sz w:val="24"/>
          <w:szCs w:val="24"/>
          <w:lang w:val="uk-UA"/>
        </w:rPr>
      </w:pPr>
      <w:r w:rsidRPr="005B3464">
        <w:rPr>
          <w:sz w:val="24"/>
          <w:szCs w:val="24"/>
          <w:lang w:val="uk-UA"/>
        </w:rPr>
        <w:t>ціновий ризик – можливість повної або часткової втрати грошових коштів, цінних паперів та/або інших фінансових інструментів через зміну вартості фінансового інструмента внаслідок коливання ринкових цін;</w:t>
      </w:r>
    </w:p>
    <w:p w:rsidR="008F09AC" w:rsidRPr="005B3464" w:rsidRDefault="008F09AC" w:rsidP="008F09AC">
      <w:pPr>
        <w:pStyle w:val="a7"/>
        <w:numPr>
          <w:ilvl w:val="0"/>
          <w:numId w:val="5"/>
        </w:numPr>
        <w:spacing w:line="360" w:lineRule="auto"/>
        <w:ind w:left="0"/>
        <w:jc w:val="both"/>
        <w:rPr>
          <w:sz w:val="24"/>
          <w:szCs w:val="24"/>
          <w:lang w:val="uk-UA"/>
        </w:rPr>
      </w:pPr>
      <w:r w:rsidRPr="005B3464">
        <w:rPr>
          <w:sz w:val="24"/>
          <w:szCs w:val="24"/>
          <w:lang w:val="uk-UA"/>
        </w:rPr>
        <w:t>валютний ризик – можливість повної або часткової втрати грошових коштів, цінних паперів або інших фінансових інструментів через зміну вартості фінансового інструмента внаслідок зміни курсу однієї іноземної валюти по відношенню до іншої, у тому числі національної валюти;</w:t>
      </w:r>
    </w:p>
    <w:p w:rsidR="008F09AC" w:rsidRPr="005B3464" w:rsidRDefault="008F09AC" w:rsidP="008F09AC">
      <w:pPr>
        <w:pStyle w:val="a7"/>
        <w:numPr>
          <w:ilvl w:val="0"/>
          <w:numId w:val="5"/>
        </w:numPr>
        <w:tabs>
          <w:tab w:val="num" w:pos="900"/>
        </w:tabs>
        <w:spacing w:line="360" w:lineRule="auto"/>
        <w:ind w:left="0"/>
        <w:jc w:val="both"/>
        <w:rPr>
          <w:sz w:val="24"/>
          <w:szCs w:val="24"/>
          <w:lang w:val="uk-UA"/>
        </w:rPr>
      </w:pPr>
      <w:r w:rsidRPr="005B3464">
        <w:rPr>
          <w:sz w:val="24"/>
          <w:szCs w:val="24"/>
          <w:lang w:val="uk-UA"/>
        </w:rPr>
        <w:t>процентний ризик – можливість повної або часткової втрати грошових коштів, цінних паперів та/або інших фінансових інструментів через зміну вартості фінансового інструменту внаслідок несприятливих змін ринкових відсоткових ставок.</w:t>
      </w:r>
    </w:p>
    <w:p w:rsidR="008F09AC" w:rsidRPr="005B3464" w:rsidRDefault="008F09AC" w:rsidP="008F09AC">
      <w:pPr>
        <w:spacing w:line="360" w:lineRule="auto"/>
        <w:ind w:firstLine="360"/>
        <w:jc w:val="both"/>
        <w:rPr>
          <w:sz w:val="24"/>
          <w:szCs w:val="24"/>
          <w:lang w:val="uk-UA"/>
        </w:rPr>
      </w:pPr>
      <w:r w:rsidRPr="005B3464">
        <w:rPr>
          <w:sz w:val="24"/>
          <w:szCs w:val="24"/>
          <w:lang w:val="uk-UA"/>
        </w:rPr>
        <w:t>Кредитний ризик – можливість негативної зміни вартості активів (портфеля активів) Клієнта, внаслідок неспроможності контрагентів (позичальників) виконувати свої зобов’язання, зокрема, з виплати процентів та основної суми боргу у відповідності до строків та умов кредитних угод (проспекту емісії). Аналізуючи кредитний ризик контрагента, необхідно оцінити імовірність дефолту контрагента; суми, що піддається ризику; величину втрати при настанні кредитної події.</w:t>
      </w:r>
    </w:p>
    <w:p w:rsidR="008F09AC" w:rsidRPr="005B3464" w:rsidRDefault="008F09AC" w:rsidP="008F09AC">
      <w:pPr>
        <w:spacing w:line="360" w:lineRule="auto"/>
        <w:ind w:firstLine="360"/>
        <w:jc w:val="both"/>
        <w:rPr>
          <w:sz w:val="24"/>
          <w:szCs w:val="24"/>
          <w:lang w:val="uk-UA"/>
        </w:rPr>
      </w:pPr>
      <w:r w:rsidRPr="005B3464">
        <w:rPr>
          <w:sz w:val="24"/>
          <w:szCs w:val="24"/>
          <w:lang w:val="uk-UA"/>
        </w:rPr>
        <w:t>Ризик ліквідності – можливість негативної зміни вартості активів (портфеля активів) Клієнта через неможливість купівлі або продажу активів у визначеній кількості за середньо ринковою ціною за короткий строк. До ризиків ліквідності відносяться:</w:t>
      </w:r>
    </w:p>
    <w:p w:rsidR="008F09AC" w:rsidRPr="005B3464" w:rsidRDefault="008F09AC" w:rsidP="008F09AC">
      <w:pPr>
        <w:pStyle w:val="a7"/>
        <w:numPr>
          <w:ilvl w:val="0"/>
          <w:numId w:val="4"/>
        </w:numPr>
        <w:tabs>
          <w:tab w:val="num" w:pos="900"/>
        </w:tabs>
        <w:spacing w:line="360" w:lineRule="auto"/>
        <w:ind w:left="0"/>
        <w:jc w:val="both"/>
        <w:rPr>
          <w:sz w:val="24"/>
          <w:szCs w:val="24"/>
          <w:lang w:val="uk-UA"/>
        </w:rPr>
      </w:pPr>
      <w:r w:rsidRPr="005B3464">
        <w:rPr>
          <w:sz w:val="24"/>
          <w:szCs w:val="24"/>
          <w:lang w:val="uk-UA"/>
        </w:rPr>
        <w:t>ризик ринкової ліквідності – можливість повної або часткової втрати активів через неможливість купівлі або продажу активів в потрібній кількості за досить короткий період часу в силу погіршення ринкової кон’юнктури;</w:t>
      </w:r>
    </w:p>
    <w:p w:rsidR="008F09AC" w:rsidRPr="005B3464" w:rsidRDefault="008F09AC" w:rsidP="008F09AC">
      <w:pPr>
        <w:pStyle w:val="a7"/>
        <w:numPr>
          <w:ilvl w:val="0"/>
          <w:numId w:val="4"/>
        </w:numPr>
        <w:tabs>
          <w:tab w:val="num" w:pos="900"/>
        </w:tabs>
        <w:spacing w:line="360" w:lineRule="auto"/>
        <w:ind w:left="0"/>
        <w:jc w:val="both"/>
        <w:rPr>
          <w:sz w:val="24"/>
          <w:szCs w:val="24"/>
          <w:lang w:val="uk-UA"/>
        </w:rPr>
      </w:pPr>
      <w:r w:rsidRPr="005B3464">
        <w:rPr>
          <w:sz w:val="24"/>
          <w:szCs w:val="24"/>
          <w:lang w:val="uk-UA"/>
        </w:rPr>
        <w:t>ризик балансової ліквідності – можливість виникнення дефіциту грошових коштів або інших високоліквідних активів для виконання зобов’язань перед кредиторами.</w:t>
      </w:r>
    </w:p>
    <w:p w:rsidR="008F09AC" w:rsidRPr="005B3464" w:rsidRDefault="008F09AC" w:rsidP="008F09AC">
      <w:pPr>
        <w:spacing w:line="360" w:lineRule="auto"/>
        <w:ind w:firstLine="360"/>
        <w:jc w:val="both"/>
        <w:rPr>
          <w:sz w:val="24"/>
          <w:szCs w:val="24"/>
          <w:lang w:val="uk-UA"/>
        </w:rPr>
      </w:pPr>
      <w:r w:rsidRPr="005B3464">
        <w:rPr>
          <w:sz w:val="24"/>
          <w:szCs w:val="24"/>
          <w:lang w:val="uk-UA"/>
        </w:rPr>
        <w:t>Крім зазначених ризиків при здійсненні операцій на  ринк</w:t>
      </w:r>
      <w:r w:rsidR="004C5D84">
        <w:rPr>
          <w:sz w:val="24"/>
          <w:szCs w:val="24"/>
          <w:lang w:val="uk-UA"/>
        </w:rPr>
        <w:t>ах капіталу</w:t>
      </w:r>
      <w:r w:rsidRPr="005B3464">
        <w:rPr>
          <w:sz w:val="24"/>
          <w:szCs w:val="24"/>
          <w:lang w:val="uk-UA"/>
        </w:rPr>
        <w:t xml:space="preserve"> необхідно враховувати правовий ризик – можливість повної або часткової втрати активів внаслідок запровадження несприятливих для Клієнта законодавчих змін, у тому числі до податкового законодавства, або внаслідок відсутності нормативно-правових актів щодо  </w:t>
      </w:r>
      <w:r w:rsidR="004C5D84">
        <w:rPr>
          <w:sz w:val="24"/>
          <w:szCs w:val="24"/>
          <w:lang w:val="uk-UA"/>
        </w:rPr>
        <w:t xml:space="preserve">ринків капіталу </w:t>
      </w:r>
      <w:r w:rsidRPr="005B3464">
        <w:rPr>
          <w:sz w:val="24"/>
          <w:szCs w:val="24"/>
          <w:lang w:val="uk-UA"/>
        </w:rPr>
        <w:t>або окремих його секторів.</w:t>
      </w:r>
    </w:p>
    <w:p w:rsidR="008F09AC" w:rsidRPr="005B3464" w:rsidRDefault="008F09AC" w:rsidP="008F09AC">
      <w:pPr>
        <w:spacing w:line="360" w:lineRule="auto"/>
        <w:ind w:firstLine="360"/>
        <w:jc w:val="both"/>
        <w:rPr>
          <w:sz w:val="24"/>
          <w:szCs w:val="24"/>
          <w:lang w:val="uk-UA"/>
        </w:rPr>
      </w:pPr>
      <w:r w:rsidRPr="005B3464">
        <w:rPr>
          <w:sz w:val="24"/>
          <w:szCs w:val="24"/>
          <w:lang w:val="uk-UA"/>
        </w:rPr>
        <w:lastRenderedPageBreak/>
        <w:t xml:space="preserve">При здійсненні операції на </w:t>
      </w:r>
      <w:r w:rsidR="004C5D84">
        <w:rPr>
          <w:sz w:val="24"/>
          <w:szCs w:val="24"/>
          <w:lang w:val="uk-UA"/>
        </w:rPr>
        <w:t xml:space="preserve">ринках капіталу </w:t>
      </w:r>
      <w:r w:rsidRPr="005B3464">
        <w:rPr>
          <w:sz w:val="24"/>
          <w:szCs w:val="24"/>
          <w:lang w:val="uk-UA"/>
        </w:rPr>
        <w:t>існують технічні ризики, що можуть бути пов’язані з виникненням проблем у роботі інформаційних, комунікаційних, електронних та інших систем. Клієнт приймає на себе ризик фінансових втрат, що можуть виникнути внаслідок збоїв в апаратних засобах, програмному забезпеченні та внаслідок неякісного зв’язку зі сторони Клієнта.</w:t>
      </w:r>
    </w:p>
    <w:p w:rsidR="008F09AC" w:rsidRPr="005B3464" w:rsidRDefault="008F09AC" w:rsidP="008F09AC">
      <w:pPr>
        <w:spacing w:line="360" w:lineRule="auto"/>
        <w:ind w:firstLine="360"/>
        <w:jc w:val="both"/>
        <w:rPr>
          <w:sz w:val="24"/>
          <w:szCs w:val="24"/>
          <w:lang w:val="uk-UA"/>
        </w:rPr>
      </w:pPr>
      <w:r w:rsidRPr="005B3464">
        <w:rPr>
          <w:sz w:val="24"/>
          <w:szCs w:val="24"/>
          <w:lang w:val="uk-UA"/>
        </w:rPr>
        <w:t>Звертаємо увагу Клієнта на те, що на ринку цінних паперів існують також ризики, що не пов’язані прямо з діями Клієнта та конкретним фінансовим інструментом – системні ризики, які відображають здатність фінансового ринку, як системи або окремих його складових (ринок цінних паперів, депозитарна система, системи клірингу та розрахунків тощо), виконувати свої функції. Такі ризики не можуть бути диверсифіковані.</w:t>
      </w:r>
    </w:p>
    <w:p w:rsidR="008F09AC" w:rsidRPr="005B3464" w:rsidRDefault="008F09AC" w:rsidP="008F09AC">
      <w:pPr>
        <w:spacing w:line="360" w:lineRule="auto"/>
        <w:ind w:firstLine="360"/>
        <w:jc w:val="both"/>
        <w:rPr>
          <w:sz w:val="24"/>
          <w:szCs w:val="24"/>
          <w:lang w:val="uk-UA"/>
        </w:rPr>
      </w:pPr>
      <w:r w:rsidRPr="005B3464">
        <w:rPr>
          <w:sz w:val="24"/>
          <w:szCs w:val="24"/>
          <w:lang w:val="uk-UA"/>
        </w:rPr>
        <w:t>Наведений у Декларації перелік можливих ризиків при здійснені операцій на ринк</w:t>
      </w:r>
      <w:r w:rsidR="004C5D84">
        <w:rPr>
          <w:sz w:val="24"/>
          <w:szCs w:val="24"/>
          <w:lang w:val="uk-UA"/>
        </w:rPr>
        <w:t>ах капіталу</w:t>
      </w:r>
      <w:r w:rsidRPr="005B3464">
        <w:rPr>
          <w:sz w:val="24"/>
          <w:szCs w:val="24"/>
          <w:lang w:val="uk-UA"/>
        </w:rPr>
        <w:t xml:space="preserve"> не є вичерпним.</w:t>
      </w:r>
    </w:p>
    <w:p w:rsidR="008F09AC" w:rsidRPr="005B3464" w:rsidRDefault="008F09AC" w:rsidP="008F09AC">
      <w:pPr>
        <w:spacing w:line="360" w:lineRule="auto"/>
        <w:ind w:firstLine="360"/>
        <w:jc w:val="both"/>
        <w:rPr>
          <w:sz w:val="24"/>
          <w:szCs w:val="24"/>
          <w:lang w:val="uk-UA"/>
        </w:rPr>
      </w:pPr>
      <w:r w:rsidRPr="005B3464">
        <w:rPr>
          <w:sz w:val="24"/>
          <w:szCs w:val="24"/>
          <w:lang w:val="uk-UA"/>
        </w:rPr>
        <w:t>Данною Декларацією Банк повідомляє Клієнта про фактори ризиків, а також те, що Клієнт приймає на себе перелічені вище та інші ризики, які пов’язані зі здійсненням операцій на ринк</w:t>
      </w:r>
      <w:r w:rsidR="00530AF3">
        <w:rPr>
          <w:sz w:val="24"/>
          <w:szCs w:val="24"/>
          <w:lang w:val="uk-UA"/>
        </w:rPr>
        <w:t>ах капіталу</w:t>
      </w:r>
      <w:r w:rsidRPr="005B3464">
        <w:rPr>
          <w:sz w:val="24"/>
          <w:szCs w:val="24"/>
          <w:lang w:val="uk-UA"/>
        </w:rPr>
        <w:t>.</w:t>
      </w:r>
    </w:p>
    <w:p w:rsidR="008F09AC" w:rsidRPr="005B3464" w:rsidRDefault="008F09AC" w:rsidP="008F09AC">
      <w:pPr>
        <w:pStyle w:val="a7"/>
        <w:keepNext/>
        <w:numPr>
          <w:ilvl w:val="0"/>
          <w:numId w:val="3"/>
        </w:numPr>
        <w:tabs>
          <w:tab w:val="left" w:pos="360"/>
        </w:tabs>
        <w:autoSpaceDE w:val="0"/>
        <w:autoSpaceDN w:val="0"/>
        <w:adjustRightInd w:val="0"/>
        <w:spacing w:line="360" w:lineRule="auto"/>
        <w:ind w:left="0"/>
        <w:jc w:val="both"/>
        <w:rPr>
          <w:b/>
          <w:sz w:val="24"/>
          <w:szCs w:val="24"/>
          <w:lang w:val="uk-UA"/>
        </w:rPr>
      </w:pPr>
      <w:r w:rsidRPr="005B3464">
        <w:rPr>
          <w:b/>
          <w:sz w:val="24"/>
          <w:szCs w:val="24"/>
          <w:lang w:val="uk-UA"/>
        </w:rPr>
        <w:t>Механізм захисту Торговцем прав споживачів та порядок урегулювання спірних питань, що виникають у процесі надання фінансової послуги:</w:t>
      </w:r>
    </w:p>
    <w:p w:rsidR="00454710" w:rsidRDefault="008F09AC" w:rsidP="008F09AC">
      <w:pPr>
        <w:spacing w:line="360" w:lineRule="auto"/>
        <w:ind w:firstLine="360"/>
        <w:jc w:val="both"/>
        <w:rPr>
          <w:sz w:val="24"/>
          <w:szCs w:val="24"/>
          <w:lang w:val="uk-UA"/>
        </w:rPr>
      </w:pPr>
      <w:r w:rsidRPr="005B3464">
        <w:rPr>
          <w:sz w:val="24"/>
          <w:szCs w:val="24"/>
          <w:lang w:val="uk-UA"/>
        </w:rPr>
        <w:t xml:space="preserve">Механізм захисту прав споживачів - фізичних осіб </w:t>
      </w:r>
      <w:r w:rsidR="00454710">
        <w:rPr>
          <w:sz w:val="24"/>
          <w:szCs w:val="24"/>
          <w:lang w:val="uk-UA"/>
        </w:rPr>
        <w:t>регулюється</w:t>
      </w:r>
      <w:r w:rsidRPr="005B3464">
        <w:rPr>
          <w:sz w:val="24"/>
          <w:szCs w:val="24"/>
          <w:lang w:val="uk-UA"/>
        </w:rPr>
        <w:t xml:space="preserve"> Законом України </w:t>
      </w:r>
      <w:r w:rsidRPr="00530AF3">
        <w:rPr>
          <w:sz w:val="24"/>
          <w:szCs w:val="24"/>
          <w:lang w:val="uk-UA"/>
        </w:rPr>
        <w:t>«Про захист прав споживачів»</w:t>
      </w:r>
      <w:r w:rsidR="00454710">
        <w:rPr>
          <w:sz w:val="24"/>
          <w:szCs w:val="24"/>
          <w:lang w:val="uk-UA"/>
        </w:rPr>
        <w:t xml:space="preserve"> з урахуванням особливостей, передбачених законом України «Про фінансові послуги та державне регулювання рин</w:t>
      </w:r>
      <w:r w:rsidR="00B40797">
        <w:rPr>
          <w:sz w:val="24"/>
          <w:szCs w:val="24"/>
          <w:lang w:val="uk-UA"/>
        </w:rPr>
        <w:t>к</w:t>
      </w:r>
      <w:r w:rsidR="00454710">
        <w:rPr>
          <w:sz w:val="24"/>
          <w:szCs w:val="24"/>
          <w:lang w:val="uk-UA"/>
        </w:rPr>
        <w:t>ів фінансових послуг»</w:t>
      </w:r>
      <w:r w:rsidRPr="00530AF3">
        <w:rPr>
          <w:sz w:val="24"/>
          <w:szCs w:val="24"/>
          <w:lang w:val="uk-UA"/>
        </w:rPr>
        <w:t>.</w:t>
      </w:r>
      <w:r w:rsidRPr="005B3464">
        <w:rPr>
          <w:sz w:val="24"/>
          <w:szCs w:val="24"/>
          <w:lang w:val="uk-UA"/>
        </w:rPr>
        <w:t xml:space="preserve"> </w:t>
      </w:r>
    </w:p>
    <w:p w:rsidR="008F09AC" w:rsidRPr="005B3464" w:rsidRDefault="008F09AC" w:rsidP="008F09AC">
      <w:pPr>
        <w:spacing w:line="360" w:lineRule="auto"/>
        <w:ind w:firstLine="360"/>
        <w:jc w:val="both"/>
        <w:rPr>
          <w:sz w:val="24"/>
          <w:szCs w:val="24"/>
          <w:lang w:val="uk-UA"/>
        </w:rPr>
      </w:pPr>
      <w:r w:rsidRPr="005B3464">
        <w:rPr>
          <w:sz w:val="24"/>
          <w:szCs w:val="24"/>
          <w:lang w:val="uk-UA"/>
        </w:rPr>
        <w:t>Спірні питання, що виникають у процесі надання фінансової послуги врегульовуються в досудовому порядку, в тому числі шляхом переговорів. Якщо таке врегулювання виявиться неможливим, спори підлягають врегулюванню судом на території України згідно законодавства України.</w:t>
      </w:r>
    </w:p>
    <w:p w:rsidR="008F09AC" w:rsidRPr="00967528" w:rsidRDefault="008F09AC" w:rsidP="008F09AC">
      <w:pPr>
        <w:pStyle w:val="a7"/>
        <w:keepNext/>
        <w:numPr>
          <w:ilvl w:val="0"/>
          <w:numId w:val="3"/>
        </w:numPr>
        <w:tabs>
          <w:tab w:val="left" w:pos="360"/>
        </w:tabs>
        <w:autoSpaceDE w:val="0"/>
        <w:autoSpaceDN w:val="0"/>
        <w:adjustRightInd w:val="0"/>
        <w:spacing w:line="360" w:lineRule="auto"/>
        <w:ind w:left="0"/>
        <w:jc w:val="both"/>
        <w:rPr>
          <w:b/>
          <w:sz w:val="24"/>
          <w:szCs w:val="24"/>
          <w:lang w:val="uk-UA"/>
        </w:rPr>
      </w:pPr>
      <w:r w:rsidRPr="00967528">
        <w:rPr>
          <w:b/>
          <w:sz w:val="24"/>
          <w:szCs w:val="24"/>
          <w:lang w:val="uk-UA"/>
        </w:rPr>
        <w:t>Реквізити органу, який здійснює державне регулювання ринків фінансових послуг (адреса, номер телефону тощо), а також реквізити органів з питань захисту прав споживачів:</w:t>
      </w:r>
    </w:p>
    <w:p w:rsidR="008F09AC" w:rsidRPr="005B3464" w:rsidRDefault="008F09AC" w:rsidP="008F09AC">
      <w:pPr>
        <w:spacing w:line="360" w:lineRule="auto"/>
        <w:jc w:val="both"/>
        <w:rPr>
          <w:sz w:val="24"/>
          <w:szCs w:val="24"/>
          <w:lang w:val="uk-UA"/>
        </w:rPr>
      </w:pPr>
      <w:r w:rsidRPr="005B3464">
        <w:rPr>
          <w:sz w:val="24"/>
          <w:szCs w:val="24"/>
          <w:lang w:val="uk-UA"/>
        </w:rPr>
        <w:t xml:space="preserve">Національна комісія з цінних паперів та фондового ринку </w:t>
      </w:r>
    </w:p>
    <w:p w:rsidR="008F09AC" w:rsidRPr="005B3464" w:rsidRDefault="008F09AC" w:rsidP="008F09AC">
      <w:pPr>
        <w:spacing w:line="360" w:lineRule="auto"/>
        <w:jc w:val="both"/>
        <w:rPr>
          <w:sz w:val="24"/>
          <w:szCs w:val="24"/>
          <w:lang w:val="uk-UA"/>
        </w:rPr>
      </w:pPr>
      <w:r w:rsidRPr="005B3464">
        <w:rPr>
          <w:sz w:val="24"/>
          <w:szCs w:val="24"/>
          <w:lang w:val="uk-UA"/>
        </w:rPr>
        <w:t xml:space="preserve">Адреса: 01010, м. Київ, вул. </w:t>
      </w:r>
      <w:r w:rsidR="00527758">
        <w:rPr>
          <w:sz w:val="24"/>
          <w:szCs w:val="24"/>
          <w:lang w:val="uk-UA"/>
        </w:rPr>
        <w:t>Князів Острозьких</w:t>
      </w:r>
      <w:r w:rsidRPr="005B3464">
        <w:rPr>
          <w:sz w:val="24"/>
          <w:szCs w:val="24"/>
          <w:lang w:val="uk-UA"/>
        </w:rPr>
        <w:t xml:space="preserve"> 8, корп. 30 </w:t>
      </w:r>
    </w:p>
    <w:p w:rsidR="008F09AC" w:rsidRPr="005B3464" w:rsidRDefault="008F09AC" w:rsidP="008F09AC">
      <w:pPr>
        <w:spacing w:line="360" w:lineRule="auto"/>
        <w:jc w:val="both"/>
        <w:rPr>
          <w:sz w:val="24"/>
          <w:szCs w:val="24"/>
          <w:lang w:val="uk-UA"/>
        </w:rPr>
      </w:pPr>
      <w:r w:rsidRPr="005B3464">
        <w:rPr>
          <w:sz w:val="24"/>
          <w:szCs w:val="24"/>
          <w:lang w:val="uk-UA"/>
        </w:rPr>
        <w:t>Приймальня Голови Комісії (044) 254 24 30; канцелярія (044) 254 23 31 E-</w:t>
      </w:r>
      <w:proofErr w:type="spellStart"/>
      <w:r w:rsidRPr="005B3464">
        <w:rPr>
          <w:sz w:val="24"/>
          <w:szCs w:val="24"/>
          <w:lang w:val="uk-UA"/>
        </w:rPr>
        <w:t>mail</w:t>
      </w:r>
      <w:proofErr w:type="spellEnd"/>
      <w:r w:rsidRPr="005B3464">
        <w:rPr>
          <w:sz w:val="24"/>
          <w:szCs w:val="24"/>
          <w:lang w:val="uk-UA"/>
        </w:rPr>
        <w:t xml:space="preserve">: </w:t>
      </w:r>
      <w:hyperlink r:id="rId9" w:history="1">
        <w:r w:rsidRPr="005B3464">
          <w:rPr>
            <w:rStyle w:val="af0"/>
            <w:sz w:val="24"/>
            <w:szCs w:val="24"/>
            <w:lang w:val="uk-UA"/>
          </w:rPr>
          <w:t>info@nssmc.gov.ua</w:t>
        </w:r>
      </w:hyperlink>
      <w:r w:rsidRPr="005B3464">
        <w:rPr>
          <w:sz w:val="24"/>
          <w:szCs w:val="24"/>
          <w:lang w:val="uk-UA"/>
        </w:rPr>
        <w:t xml:space="preserve"> </w:t>
      </w:r>
    </w:p>
    <w:p w:rsidR="008F09AC" w:rsidRPr="005B3464" w:rsidRDefault="008F09AC" w:rsidP="008F09AC">
      <w:pPr>
        <w:spacing w:line="360" w:lineRule="auto"/>
        <w:jc w:val="both"/>
        <w:rPr>
          <w:sz w:val="24"/>
          <w:szCs w:val="24"/>
          <w:lang w:val="uk-UA"/>
        </w:rPr>
      </w:pPr>
      <w:proofErr w:type="spellStart"/>
      <w:r w:rsidRPr="005B3464">
        <w:rPr>
          <w:sz w:val="24"/>
          <w:szCs w:val="24"/>
          <w:lang w:val="uk-UA"/>
        </w:rPr>
        <w:t>Web</w:t>
      </w:r>
      <w:proofErr w:type="spellEnd"/>
      <w:r w:rsidRPr="005B3464">
        <w:rPr>
          <w:sz w:val="24"/>
          <w:szCs w:val="24"/>
          <w:lang w:val="uk-UA"/>
        </w:rPr>
        <w:t xml:space="preserve">-сайт: </w:t>
      </w:r>
      <w:hyperlink r:id="rId10" w:history="1">
        <w:r w:rsidRPr="005B3464">
          <w:rPr>
            <w:rStyle w:val="af0"/>
            <w:sz w:val="24"/>
            <w:szCs w:val="24"/>
            <w:lang w:val="uk-UA"/>
          </w:rPr>
          <w:t>www.nssmc.gov.ua</w:t>
        </w:r>
      </w:hyperlink>
      <w:r w:rsidRPr="005B3464">
        <w:rPr>
          <w:sz w:val="24"/>
          <w:szCs w:val="24"/>
          <w:lang w:val="uk-UA"/>
        </w:rPr>
        <w:t xml:space="preserve"> </w:t>
      </w:r>
    </w:p>
    <w:p w:rsidR="008F09AC" w:rsidRPr="005B3464" w:rsidRDefault="008F09AC" w:rsidP="008F09AC">
      <w:pPr>
        <w:spacing w:line="360" w:lineRule="auto"/>
        <w:jc w:val="both"/>
        <w:rPr>
          <w:sz w:val="24"/>
          <w:szCs w:val="24"/>
          <w:lang w:val="uk-UA"/>
        </w:rPr>
      </w:pPr>
      <w:r w:rsidRPr="005B3464">
        <w:rPr>
          <w:sz w:val="24"/>
          <w:szCs w:val="24"/>
          <w:lang w:val="uk-UA"/>
        </w:rPr>
        <w:t xml:space="preserve">Державна служба України з питань безпечності харчових продуктів та захисту споживачів </w:t>
      </w:r>
    </w:p>
    <w:p w:rsidR="008F09AC" w:rsidRPr="005B3464" w:rsidRDefault="008F09AC" w:rsidP="008F09AC">
      <w:pPr>
        <w:spacing w:line="360" w:lineRule="auto"/>
        <w:jc w:val="both"/>
        <w:rPr>
          <w:sz w:val="24"/>
          <w:szCs w:val="24"/>
          <w:lang w:val="uk-UA"/>
        </w:rPr>
      </w:pPr>
      <w:r w:rsidRPr="005B3464">
        <w:rPr>
          <w:sz w:val="24"/>
          <w:szCs w:val="24"/>
          <w:lang w:val="uk-UA"/>
        </w:rPr>
        <w:t xml:space="preserve">Адреса: 01001, м. Київ, вул. Б.Грінченка, 1 </w:t>
      </w:r>
    </w:p>
    <w:p w:rsidR="008F09AC" w:rsidRPr="005B3464" w:rsidRDefault="008F09AC" w:rsidP="008F09AC">
      <w:pPr>
        <w:spacing w:line="360" w:lineRule="auto"/>
        <w:jc w:val="both"/>
        <w:rPr>
          <w:sz w:val="24"/>
          <w:szCs w:val="24"/>
          <w:lang w:val="uk-UA"/>
        </w:rPr>
      </w:pPr>
      <w:r w:rsidRPr="005B3464">
        <w:rPr>
          <w:sz w:val="24"/>
          <w:szCs w:val="24"/>
          <w:lang w:val="uk-UA"/>
        </w:rPr>
        <w:t xml:space="preserve">Телефон: (044) 278 84 60, 278 41 70 - канцелярія </w:t>
      </w:r>
    </w:p>
    <w:p w:rsidR="008F09AC" w:rsidRPr="005B3464" w:rsidRDefault="008F09AC" w:rsidP="008F09AC">
      <w:pPr>
        <w:spacing w:line="360" w:lineRule="auto"/>
        <w:jc w:val="both"/>
        <w:rPr>
          <w:sz w:val="24"/>
          <w:szCs w:val="24"/>
          <w:lang w:val="uk-UA"/>
        </w:rPr>
      </w:pPr>
      <w:r w:rsidRPr="005B3464">
        <w:rPr>
          <w:sz w:val="24"/>
          <w:szCs w:val="24"/>
          <w:lang w:val="uk-UA"/>
        </w:rPr>
        <w:t>E-</w:t>
      </w:r>
      <w:proofErr w:type="spellStart"/>
      <w:r w:rsidRPr="005B3464">
        <w:rPr>
          <w:sz w:val="24"/>
          <w:szCs w:val="24"/>
          <w:lang w:val="uk-UA"/>
        </w:rPr>
        <w:t>mail</w:t>
      </w:r>
      <w:proofErr w:type="spellEnd"/>
      <w:r w:rsidRPr="005B3464">
        <w:rPr>
          <w:sz w:val="24"/>
          <w:szCs w:val="24"/>
          <w:lang w:val="uk-UA"/>
        </w:rPr>
        <w:t xml:space="preserve">: </w:t>
      </w:r>
      <w:hyperlink r:id="rId11" w:history="1">
        <w:r w:rsidRPr="005B3464">
          <w:rPr>
            <w:rStyle w:val="af0"/>
            <w:sz w:val="24"/>
            <w:szCs w:val="24"/>
            <w:lang w:val="uk-UA"/>
          </w:rPr>
          <w:t>head@consumer.gov.ua</w:t>
        </w:r>
      </w:hyperlink>
      <w:r w:rsidRPr="005B3464">
        <w:rPr>
          <w:sz w:val="24"/>
          <w:szCs w:val="24"/>
          <w:lang w:val="uk-UA"/>
        </w:rPr>
        <w:t xml:space="preserve"> </w:t>
      </w:r>
    </w:p>
    <w:p w:rsidR="008F09AC" w:rsidRPr="005B3464" w:rsidRDefault="008F09AC" w:rsidP="008F09AC">
      <w:pPr>
        <w:spacing w:line="360" w:lineRule="auto"/>
        <w:jc w:val="both"/>
        <w:rPr>
          <w:sz w:val="24"/>
          <w:szCs w:val="24"/>
          <w:lang w:val="uk-UA"/>
        </w:rPr>
      </w:pPr>
      <w:proofErr w:type="spellStart"/>
      <w:r w:rsidRPr="005B3464">
        <w:rPr>
          <w:sz w:val="24"/>
          <w:szCs w:val="24"/>
          <w:lang w:val="uk-UA"/>
        </w:rPr>
        <w:t>Web</w:t>
      </w:r>
      <w:proofErr w:type="spellEnd"/>
      <w:r w:rsidRPr="005B3464">
        <w:rPr>
          <w:sz w:val="24"/>
          <w:szCs w:val="24"/>
          <w:lang w:val="uk-UA"/>
        </w:rPr>
        <w:t xml:space="preserve">-сайт: </w:t>
      </w:r>
      <w:hyperlink r:id="rId12" w:history="1">
        <w:r w:rsidRPr="005B3464">
          <w:rPr>
            <w:rStyle w:val="af0"/>
            <w:sz w:val="24"/>
            <w:szCs w:val="24"/>
            <w:lang w:val="uk-UA"/>
          </w:rPr>
          <w:t>http://consumer.gov.ua/</w:t>
        </w:r>
      </w:hyperlink>
      <w:r w:rsidRPr="005B3464">
        <w:rPr>
          <w:sz w:val="24"/>
          <w:szCs w:val="24"/>
          <w:lang w:val="uk-UA"/>
        </w:rPr>
        <w:t xml:space="preserve"> </w:t>
      </w:r>
    </w:p>
    <w:p w:rsidR="008F09AC" w:rsidRPr="005B3464" w:rsidRDefault="008F09AC" w:rsidP="008F09AC">
      <w:pPr>
        <w:spacing w:line="360" w:lineRule="auto"/>
        <w:jc w:val="both"/>
        <w:rPr>
          <w:sz w:val="24"/>
          <w:szCs w:val="24"/>
          <w:lang w:val="uk-UA"/>
        </w:rPr>
      </w:pPr>
      <w:r w:rsidRPr="005B3464">
        <w:rPr>
          <w:sz w:val="24"/>
          <w:szCs w:val="24"/>
          <w:lang w:val="uk-UA"/>
        </w:rPr>
        <w:t xml:space="preserve">Головне управління </w:t>
      </w:r>
      <w:proofErr w:type="spellStart"/>
      <w:r w:rsidRPr="005B3464">
        <w:rPr>
          <w:sz w:val="24"/>
          <w:szCs w:val="24"/>
          <w:lang w:val="uk-UA"/>
        </w:rPr>
        <w:t>Держпродспоживслужби</w:t>
      </w:r>
      <w:proofErr w:type="spellEnd"/>
      <w:r w:rsidRPr="005B3464">
        <w:rPr>
          <w:sz w:val="24"/>
          <w:szCs w:val="24"/>
          <w:lang w:val="uk-UA"/>
        </w:rPr>
        <w:t xml:space="preserve"> в м. Києві </w:t>
      </w:r>
    </w:p>
    <w:p w:rsidR="008F09AC" w:rsidRPr="005B3464" w:rsidRDefault="008F09AC" w:rsidP="008F09AC">
      <w:pPr>
        <w:spacing w:line="360" w:lineRule="auto"/>
        <w:jc w:val="both"/>
        <w:rPr>
          <w:sz w:val="24"/>
          <w:szCs w:val="24"/>
          <w:lang w:val="uk-UA"/>
        </w:rPr>
      </w:pPr>
      <w:r w:rsidRPr="005B3464">
        <w:rPr>
          <w:sz w:val="24"/>
          <w:szCs w:val="24"/>
          <w:lang w:val="uk-UA"/>
        </w:rPr>
        <w:t>Адреса: 0</w:t>
      </w:r>
      <w:r w:rsidR="00527758">
        <w:rPr>
          <w:sz w:val="24"/>
          <w:szCs w:val="24"/>
          <w:lang w:val="uk-UA"/>
        </w:rPr>
        <w:t>3151</w:t>
      </w:r>
      <w:r w:rsidRPr="005B3464">
        <w:rPr>
          <w:sz w:val="24"/>
          <w:szCs w:val="24"/>
          <w:lang w:val="uk-UA"/>
        </w:rPr>
        <w:t xml:space="preserve"> м. Київ, вул. </w:t>
      </w:r>
      <w:r w:rsidR="00527758">
        <w:rPr>
          <w:sz w:val="24"/>
          <w:szCs w:val="24"/>
          <w:lang w:val="uk-UA"/>
        </w:rPr>
        <w:t>Волинська</w:t>
      </w:r>
      <w:r w:rsidRPr="005B3464">
        <w:rPr>
          <w:sz w:val="24"/>
          <w:szCs w:val="24"/>
          <w:lang w:val="uk-UA"/>
        </w:rPr>
        <w:t xml:space="preserve">, </w:t>
      </w:r>
      <w:r w:rsidR="00527758">
        <w:rPr>
          <w:sz w:val="24"/>
          <w:szCs w:val="24"/>
          <w:lang w:val="uk-UA"/>
        </w:rPr>
        <w:t>12</w:t>
      </w:r>
      <w:r w:rsidRPr="005B3464">
        <w:rPr>
          <w:sz w:val="24"/>
          <w:szCs w:val="24"/>
          <w:lang w:val="uk-UA"/>
        </w:rPr>
        <w:t xml:space="preserve"> </w:t>
      </w:r>
    </w:p>
    <w:p w:rsidR="008F09AC" w:rsidRPr="005B3464" w:rsidRDefault="008F09AC" w:rsidP="008F09AC">
      <w:pPr>
        <w:spacing w:line="360" w:lineRule="auto"/>
        <w:jc w:val="both"/>
        <w:rPr>
          <w:sz w:val="24"/>
          <w:szCs w:val="24"/>
          <w:lang w:val="uk-UA"/>
        </w:rPr>
      </w:pPr>
      <w:r w:rsidRPr="005B3464">
        <w:rPr>
          <w:sz w:val="24"/>
          <w:szCs w:val="24"/>
          <w:lang w:val="uk-UA"/>
        </w:rPr>
        <w:t xml:space="preserve">тел.: (044) </w:t>
      </w:r>
      <w:r w:rsidR="00527758">
        <w:rPr>
          <w:sz w:val="24"/>
          <w:szCs w:val="24"/>
          <w:lang w:val="uk-UA"/>
        </w:rPr>
        <w:t>279-12-70</w:t>
      </w:r>
      <w:r w:rsidRPr="005B3464">
        <w:rPr>
          <w:sz w:val="24"/>
          <w:szCs w:val="24"/>
          <w:lang w:val="uk-UA"/>
        </w:rPr>
        <w:t xml:space="preserve"> </w:t>
      </w:r>
    </w:p>
    <w:p w:rsidR="008F09AC" w:rsidRPr="005B3464" w:rsidRDefault="008F09AC" w:rsidP="008F09AC">
      <w:pPr>
        <w:spacing w:line="360" w:lineRule="auto"/>
        <w:jc w:val="both"/>
        <w:rPr>
          <w:sz w:val="24"/>
          <w:szCs w:val="24"/>
          <w:lang w:val="uk-UA"/>
        </w:rPr>
      </w:pPr>
      <w:r w:rsidRPr="005B3464">
        <w:rPr>
          <w:sz w:val="24"/>
          <w:szCs w:val="24"/>
          <w:lang w:val="uk-UA"/>
        </w:rPr>
        <w:t>E-</w:t>
      </w:r>
      <w:proofErr w:type="spellStart"/>
      <w:r w:rsidRPr="005B3464">
        <w:rPr>
          <w:sz w:val="24"/>
          <w:szCs w:val="24"/>
          <w:lang w:val="uk-UA"/>
        </w:rPr>
        <w:t>mail</w:t>
      </w:r>
      <w:proofErr w:type="spellEnd"/>
      <w:r w:rsidRPr="005B3464">
        <w:rPr>
          <w:sz w:val="24"/>
          <w:szCs w:val="24"/>
          <w:lang w:val="uk-UA"/>
        </w:rPr>
        <w:t xml:space="preserve">: </w:t>
      </w:r>
      <w:hyperlink r:id="rId13" w:history="1">
        <w:r w:rsidRPr="005B3464">
          <w:rPr>
            <w:rStyle w:val="af0"/>
            <w:sz w:val="24"/>
            <w:szCs w:val="24"/>
            <w:lang w:val="uk-UA"/>
          </w:rPr>
          <w:t>info@dpss.gov.ua</w:t>
        </w:r>
      </w:hyperlink>
      <w:r w:rsidRPr="005B3464">
        <w:rPr>
          <w:sz w:val="24"/>
          <w:szCs w:val="24"/>
          <w:lang w:val="uk-UA"/>
        </w:rPr>
        <w:t xml:space="preserve"> </w:t>
      </w:r>
    </w:p>
    <w:p w:rsidR="008F09AC" w:rsidRPr="005B3464" w:rsidRDefault="008F09AC" w:rsidP="008F09AC">
      <w:pPr>
        <w:spacing w:line="360" w:lineRule="auto"/>
        <w:jc w:val="both"/>
        <w:rPr>
          <w:sz w:val="24"/>
          <w:szCs w:val="24"/>
          <w:lang w:val="uk-UA"/>
        </w:rPr>
      </w:pPr>
      <w:proofErr w:type="spellStart"/>
      <w:r w:rsidRPr="005B3464">
        <w:rPr>
          <w:sz w:val="24"/>
          <w:szCs w:val="24"/>
          <w:lang w:val="uk-UA"/>
        </w:rPr>
        <w:t>Web</w:t>
      </w:r>
      <w:proofErr w:type="spellEnd"/>
      <w:r w:rsidRPr="005B3464">
        <w:rPr>
          <w:sz w:val="24"/>
          <w:szCs w:val="24"/>
          <w:lang w:val="uk-UA"/>
        </w:rPr>
        <w:t xml:space="preserve">-сайт: </w:t>
      </w:r>
      <w:hyperlink r:id="rId14" w:history="1">
        <w:r w:rsidRPr="005B3464">
          <w:rPr>
            <w:rStyle w:val="af0"/>
            <w:sz w:val="24"/>
            <w:szCs w:val="24"/>
            <w:lang w:val="uk-UA"/>
          </w:rPr>
          <w:t>http://www.dpss.gov.ua</w:t>
        </w:r>
      </w:hyperlink>
    </w:p>
    <w:p w:rsidR="008F09AC" w:rsidRPr="005B3464" w:rsidRDefault="008F09AC" w:rsidP="008F09AC">
      <w:pPr>
        <w:pStyle w:val="a7"/>
        <w:numPr>
          <w:ilvl w:val="0"/>
          <w:numId w:val="3"/>
        </w:numPr>
        <w:spacing w:line="360" w:lineRule="auto"/>
        <w:ind w:left="0"/>
        <w:rPr>
          <w:sz w:val="24"/>
          <w:szCs w:val="24"/>
          <w:lang w:val="uk-UA" w:eastAsia="uk-UA"/>
        </w:rPr>
      </w:pPr>
      <w:r w:rsidRPr="005B3464">
        <w:rPr>
          <w:b/>
          <w:sz w:val="24"/>
          <w:szCs w:val="24"/>
          <w:lang w:val="uk-UA"/>
        </w:rPr>
        <w:lastRenderedPageBreak/>
        <w:t xml:space="preserve">Порядок і строки розгляду звернень та скарг клієнтів та професійних учасників </w:t>
      </w:r>
      <w:r w:rsidR="00530AF3">
        <w:rPr>
          <w:b/>
          <w:sz w:val="24"/>
          <w:szCs w:val="24"/>
          <w:lang w:val="uk-UA"/>
        </w:rPr>
        <w:t>ринків капіталу</w:t>
      </w:r>
    </w:p>
    <w:p w:rsidR="008F09AC" w:rsidRDefault="008F09AC" w:rsidP="008F09AC">
      <w:pPr>
        <w:spacing w:line="360" w:lineRule="auto"/>
        <w:ind w:firstLine="360"/>
        <w:jc w:val="both"/>
        <w:rPr>
          <w:sz w:val="24"/>
          <w:szCs w:val="24"/>
          <w:lang w:val="uk-UA"/>
        </w:rPr>
      </w:pPr>
      <w:r w:rsidRPr="005B3464">
        <w:rPr>
          <w:sz w:val="24"/>
          <w:szCs w:val="24"/>
          <w:lang w:val="uk-UA"/>
        </w:rPr>
        <w:t xml:space="preserve">Торговець встановлює, впроваджує та підтримує ефективні та прозорі процедури своєчасного реагування на звернення та скарги клієнтів або потенційних клієнтів. </w:t>
      </w:r>
    </w:p>
    <w:p w:rsidR="009D0BE6" w:rsidRDefault="009D0BE6" w:rsidP="008F09AC">
      <w:pPr>
        <w:spacing w:line="360" w:lineRule="auto"/>
        <w:ind w:firstLine="360"/>
        <w:jc w:val="both"/>
        <w:rPr>
          <w:sz w:val="24"/>
          <w:szCs w:val="24"/>
          <w:lang w:val="uk-UA"/>
        </w:rPr>
      </w:pPr>
      <w:r>
        <w:rPr>
          <w:sz w:val="24"/>
          <w:szCs w:val="24"/>
          <w:lang w:val="uk-UA"/>
        </w:rPr>
        <w:t xml:space="preserve">З Порядком розгляду Торговцем звернень </w:t>
      </w:r>
      <w:r w:rsidR="00B40797">
        <w:rPr>
          <w:sz w:val="24"/>
          <w:szCs w:val="24"/>
          <w:lang w:val="uk-UA"/>
        </w:rPr>
        <w:t>К</w:t>
      </w:r>
      <w:r>
        <w:rPr>
          <w:sz w:val="24"/>
          <w:szCs w:val="24"/>
          <w:lang w:val="uk-UA"/>
        </w:rPr>
        <w:t>лієнтів можна ознайомитись за посиланням:</w:t>
      </w:r>
    </w:p>
    <w:p w:rsidR="009D0BE6" w:rsidRDefault="009C3A69" w:rsidP="009C3A69">
      <w:pPr>
        <w:rPr>
          <w:lang w:val="uk-UA"/>
        </w:rPr>
      </w:pPr>
      <w:hyperlink r:id="rId15" w:history="1">
        <w:r w:rsidRPr="008F5A2C">
          <w:rPr>
            <w:rStyle w:val="af0"/>
            <w:sz w:val="22"/>
            <w:szCs w:val="22"/>
          </w:rPr>
          <w:t>https</w:t>
        </w:r>
        <w:r w:rsidRPr="009C3A69">
          <w:rPr>
            <w:rStyle w:val="af0"/>
            <w:sz w:val="22"/>
            <w:szCs w:val="22"/>
            <w:lang w:val="uk-UA"/>
          </w:rPr>
          <w:t>://</w:t>
        </w:r>
        <w:proofErr w:type="spellStart"/>
        <w:r w:rsidRPr="008F5A2C">
          <w:rPr>
            <w:rStyle w:val="af0"/>
            <w:sz w:val="22"/>
            <w:szCs w:val="22"/>
          </w:rPr>
          <w:t>industrialbank</w:t>
        </w:r>
        <w:proofErr w:type="spellEnd"/>
        <w:r w:rsidRPr="009C3A69">
          <w:rPr>
            <w:rStyle w:val="af0"/>
            <w:sz w:val="22"/>
            <w:szCs w:val="22"/>
            <w:lang w:val="uk-UA"/>
          </w:rPr>
          <w:t>.</w:t>
        </w:r>
        <w:proofErr w:type="spellStart"/>
        <w:r w:rsidRPr="008F5A2C">
          <w:rPr>
            <w:rStyle w:val="af0"/>
            <w:sz w:val="22"/>
            <w:szCs w:val="22"/>
          </w:rPr>
          <w:t>ua</w:t>
        </w:r>
        <w:proofErr w:type="spellEnd"/>
        <w:r w:rsidRPr="009C3A69">
          <w:rPr>
            <w:rStyle w:val="af0"/>
            <w:sz w:val="22"/>
            <w:szCs w:val="22"/>
            <w:lang w:val="uk-UA"/>
          </w:rPr>
          <w:t>/</w:t>
        </w:r>
        <w:proofErr w:type="spellStart"/>
        <w:r w:rsidRPr="008F5A2C">
          <w:rPr>
            <w:rStyle w:val="af0"/>
            <w:sz w:val="22"/>
            <w:szCs w:val="22"/>
          </w:rPr>
          <w:t>ua</w:t>
        </w:r>
        <w:proofErr w:type="spellEnd"/>
        <w:r w:rsidRPr="009C3A69">
          <w:rPr>
            <w:rStyle w:val="af0"/>
            <w:sz w:val="22"/>
            <w:szCs w:val="22"/>
            <w:lang w:val="uk-UA"/>
          </w:rPr>
          <w:t>/</w:t>
        </w:r>
        <w:proofErr w:type="spellStart"/>
        <w:r w:rsidRPr="008F5A2C">
          <w:rPr>
            <w:rStyle w:val="af0"/>
            <w:sz w:val="22"/>
            <w:szCs w:val="22"/>
          </w:rPr>
          <w:t>zvernennia</w:t>
        </w:r>
        <w:proofErr w:type="spellEnd"/>
        <w:r w:rsidRPr="009C3A69">
          <w:rPr>
            <w:rStyle w:val="af0"/>
            <w:sz w:val="22"/>
            <w:szCs w:val="22"/>
            <w:lang w:val="uk-UA"/>
          </w:rPr>
          <w:t>-</w:t>
        </w:r>
        <w:proofErr w:type="spellStart"/>
        <w:r w:rsidRPr="008F5A2C">
          <w:rPr>
            <w:rStyle w:val="af0"/>
            <w:sz w:val="22"/>
            <w:szCs w:val="22"/>
          </w:rPr>
          <w:t>kliientiv</w:t>
        </w:r>
        <w:proofErr w:type="spellEnd"/>
      </w:hyperlink>
      <w:r>
        <w:rPr>
          <w:lang w:val="uk-UA"/>
        </w:rPr>
        <w:t xml:space="preserve"> </w:t>
      </w:r>
    </w:p>
    <w:p w:rsidR="009C3A69" w:rsidRPr="005B3464" w:rsidRDefault="009C3A69" w:rsidP="009C3A69">
      <w:pPr>
        <w:rPr>
          <w:sz w:val="24"/>
          <w:szCs w:val="24"/>
          <w:lang w:val="uk-UA"/>
        </w:rPr>
      </w:pPr>
    </w:p>
    <w:p w:rsidR="008F09AC" w:rsidRDefault="008F09AC" w:rsidP="008F09AC">
      <w:pPr>
        <w:pStyle w:val="a7"/>
        <w:tabs>
          <w:tab w:val="left" w:pos="-142"/>
          <w:tab w:val="left" w:pos="0"/>
          <w:tab w:val="left" w:pos="142"/>
          <w:tab w:val="left" w:pos="284"/>
          <w:tab w:val="left" w:pos="426"/>
          <w:tab w:val="left" w:pos="993"/>
        </w:tabs>
        <w:spacing w:line="360" w:lineRule="auto"/>
        <w:ind w:left="0"/>
        <w:jc w:val="both"/>
        <w:rPr>
          <w:sz w:val="24"/>
          <w:szCs w:val="24"/>
          <w:lang w:val="uk-UA"/>
        </w:rPr>
      </w:pPr>
      <w:r w:rsidRPr="005B3464">
        <w:rPr>
          <w:sz w:val="24"/>
          <w:szCs w:val="24"/>
          <w:lang w:val="uk-UA"/>
        </w:rPr>
        <w:tab/>
      </w:r>
      <w:r w:rsidRPr="005B3464">
        <w:rPr>
          <w:sz w:val="24"/>
          <w:szCs w:val="24"/>
          <w:lang w:val="uk-UA"/>
        </w:rPr>
        <w:tab/>
      </w:r>
    </w:p>
    <w:p w:rsidR="008F09AC" w:rsidRPr="005B3464" w:rsidRDefault="008F09AC" w:rsidP="008F09AC">
      <w:pPr>
        <w:pStyle w:val="a7"/>
        <w:tabs>
          <w:tab w:val="left" w:pos="-142"/>
          <w:tab w:val="left" w:pos="0"/>
          <w:tab w:val="left" w:pos="142"/>
          <w:tab w:val="left" w:pos="284"/>
          <w:tab w:val="left" w:pos="426"/>
          <w:tab w:val="left" w:pos="993"/>
        </w:tabs>
        <w:spacing w:line="360" w:lineRule="auto"/>
        <w:ind w:left="0"/>
        <w:jc w:val="both"/>
        <w:rPr>
          <w:b/>
          <w:sz w:val="24"/>
          <w:szCs w:val="24"/>
          <w:lang w:val="uk-UA"/>
        </w:rPr>
      </w:pPr>
      <w:r w:rsidRPr="005B3464">
        <w:rPr>
          <w:b/>
          <w:sz w:val="24"/>
          <w:szCs w:val="24"/>
          <w:lang w:val="uk-UA"/>
        </w:rPr>
        <w:t>Контакти Торговця:</w:t>
      </w:r>
    </w:p>
    <w:p w:rsidR="008F09AC" w:rsidRPr="00DB66C6" w:rsidRDefault="008F09AC" w:rsidP="008F09AC">
      <w:pPr>
        <w:spacing w:line="360" w:lineRule="auto"/>
        <w:jc w:val="both"/>
        <w:rPr>
          <w:sz w:val="24"/>
          <w:szCs w:val="24"/>
          <w:lang w:val="ru-RU"/>
        </w:rPr>
      </w:pPr>
      <w:r w:rsidRPr="005B3464">
        <w:rPr>
          <w:b/>
          <w:sz w:val="24"/>
          <w:szCs w:val="24"/>
          <w:lang w:val="uk-UA"/>
        </w:rPr>
        <w:t>Поштова адреса:</w:t>
      </w:r>
      <w:r w:rsidRPr="00DB66C6">
        <w:rPr>
          <w:sz w:val="24"/>
          <w:szCs w:val="24"/>
          <w:lang w:val="uk-UA"/>
        </w:rPr>
        <w:t xml:space="preserve"> </w:t>
      </w:r>
      <w:r w:rsidRPr="00DB66C6">
        <w:rPr>
          <w:sz w:val="24"/>
          <w:szCs w:val="24"/>
          <w:lang w:val="ru-RU"/>
        </w:rPr>
        <w:t xml:space="preserve">01133 м. </w:t>
      </w:r>
      <w:proofErr w:type="spellStart"/>
      <w:r w:rsidRPr="00DB66C6">
        <w:rPr>
          <w:sz w:val="24"/>
          <w:szCs w:val="24"/>
          <w:lang w:val="ru-RU"/>
        </w:rPr>
        <w:t>Київ</w:t>
      </w:r>
      <w:proofErr w:type="spellEnd"/>
      <w:r w:rsidRPr="00DB66C6">
        <w:rPr>
          <w:sz w:val="24"/>
          <w:szCs w:val="24"/>
          <w:lang w:val="ru-RU"/>
        </w:rPr>
        <w:t xml:space="preserve">, </w:t>
      </w:r>
      <w:proofErr w:type="spellStart"/>
      <w:r w:rsidRPr="00DB66C6">
        <w:rPr>
          <w:sz w:val="24"/>
          <w:szCs w:val="24"/>
          <w:lang w:val="ru-RU"/>
        </w:rPr>
        <w:t>вул</w:t>
      </w:r>
      <w:proofErr w:type="spellEnd"/>
      <w:r w:rsidRPr="00DB66C6">
        <w:rPr>
          <w:sz w:val="24"/>
          <w:szCs w:val="24"/>
          <w:lang w:val="ru-RU"/>
        </w:rPr>
        <w:t>. Генерала Алмазова, 18/7</w:t>
      </w:r>
    </w:p>
    <w:p w:rsidR="008F09AC" w:rsidRPr="002E6C43" w:rsidRDefault="008F09AC" w:rsidP="008F09AC">
      <w:pPr>
        <w:spacing w:line="360" w:lineRule="auto"/>
        <w:jc w:val="both"/>
        <w:rPr>
          <w:sz w:val="24"/>
          <w:szCs w:val="24"/>
          <w:lang w:val="ru-RU"/>
        </w:rPr>
      </w:pPr>
      <w:r w:rsidRPr="005B3464">
        <w:rPr>
          <w:b/>
          <w:sz w:val="24"/>
          <w:szCs w:val="24"/>
          <w:lang w:val="uk-UA"/>
        </w:rPr>
        <w:t xml:space="preserve">Для фізичних та юридичних осіб: </w:t>
      </w:r>
      <w:r w:rsidRPr="00DB66C6">
        <w:rPr>
          <w:sz w:val="24"/>
          <w:szCs w:val="24"/>
          <w:lang w:val="uk-UA"/>
        </w:rPr>
        <w:t xml:space="preserve">м. Київ, вул. Генерала </w:t>
      </w:r>
      <w:proofErr w:type="spellStart"/>
      <w:r w:rsidRPr="00DB66C6">
        <w:rPr>
          <w:sz w:val="24"/>
          <w:szCs w:val="24"/>
          <w:lang w:val="uk-UA"/>
        </w:rPr>
        <w:t>Алмазова</w:t>
      </w:r>
      <w:proofErr w:type="spellEnd"/>
      <w:r w:rsidRPr="00DB66C6">
        <w:rPr>
          <w:sz w:val="24"/>
          <w:szCs w:val="24"/>
          <w:lang w:val="uk-UA"/>
        </w:rPr>
        <w:t>, 18/7</w:t>
      </w:r>
    </w:p>
    <w:p w:rsidR="008F09AC" w:rsidRDefault="008F09AC" w:rsidP="008F09AC">
      <w:pPr>
        <w:spacing w:line="360" w:lineRule="auto"/>
        <w:jc w:val="both"/>
        <w:rPr>
          <w:sz w:val="24"/>
          <w:szCs w:val="24"/>
          <w:lang w:val="uk-UA"/>
        </w:rPr>
      </w:pPr>
      <w:r w:rsidRPr="005B3464">
        <w:rPr>
          <w:sz w:val="24"/>
          <w:szCs w:val="24"/>
          <w:lang w:val="uk-UA"/>
        </w:rPr>
        <w:t>Телефон: 044</w:t>
      </w:r>
      <w:r>
        <w:rPr>
          <w:sz w:val="24"/>
          <w:szCs w:val="24"/>
          <w:lang w:val="uk-UA"/>
        </w:rPr>
        <w:t> 290-89-60</w:t>
      </w:r>
    </w:p>
    <w:p w:rsidR="008F09AC" w:rsidRPr="005B3464" w:rsidRDefault="008F09AC" w:rsidP="008F09AC">
      <w:pPr>
        <w:spacing w:line="360" w:lineRule="auto"/>
        <w:jc w:val="both"/>
        <w:rPr>
          <w:b/>
          <w:sz w:val="24"/>
          <w:szCs w:val="24"/>
          <w:lang w:val="uk-UA"/>
        </w:rPr>
      </w:pPr>
      <w:r>
        <w:rPr>
          <w:sz w:val="24"/>
          <w:szCs w:val="24"/>
          <w:lang w:val="uk-UA"/>
        </w:rPr>
        <w:t xml:space="preserve">Електронна адреса: </w:t>
      </w:r>
      <w:hyperlink r:id="rId16" w:history="1">
        <w:r w:rsidRPr="00C91750">
          <w:rPr>
            <w:rStyle w:val="af0"/>
            <w:rFonts w:ascii="Courier New" w:hAnsi="Courier New" w:cs="Courier New"/>
            <w:color w:val="0069A6"/>
            <w:sz w:val="24"/>
            <w:szCs w:val="24"/>
            <w:shd w:val="clear" w:color="auto" w:fill="FFFFFF"/>
          </w:rPr>
          <w:t>broker</w:t>
        </w:r>
        <w:r w:rsidRPr="00F556A4">
          <w:rPr>
            <w:rStyle w:val="af0"/>
            <w:rFonts w:ascii="Courier New" w:hAnsi="Courier New" w:cs="Courier New"/>
            <w:color w:val="0069A6"/>
            <w:sz w:val="24"/>
            <w:szCs w:val="24"/>
            <w:shd w:val="clear" w:color="auto" w:fill="FFFFFF"/>
            <w:lang w:val="ru-RU"/>
          </w:rPr>
          <w:t>@</w:t>
        </w:r>
        <w:proofErr w:type="spellStart"/>
        <w:r w:rsidRPr="00C91750">
          <w:rPr>
            <w:rStyle w:val="af0"/>
            <w:rFonts w:ascii="Courier New" w:hAnsi="Courier New" w:cs="Courier New"/>
            <w:color w:val="0069A6"/>
            <w:sz w:val="24"/>
            <w:szCs w:val="24"/>
            <w:shd w:val="clear" w:color="auto" w:fill="FFFFFF"/>
          </w:rPr>
          <w:t>industrialbank</w:t>
        </w:r>
        <w:proofErr w:type="spellEnd"/>
        <w:r w:rsidRPr="00F556A4">
          <w:rPr>
            <w:rStyle w:val="af0"/>
            <w:rFonts w:ascii="Courier New" w:hAnsi="Courier New" w:cs="Courier New"/>
            <w:color w:val="0069A6"/>
            <w:sz w:val="24"/>
            <w:szCs w:val="24"/>
            <w:shd w:val="clear" w:color="auto" w:fill="FFFFFF"/>
            <w:lang w:val="ru-RU"/>
          </w:rPr>
          <w:t>.</w:t>
        </w:r>
        <w:proofErr w:type="spellStart"/>
        <w:r w:rsidRPr="00C91750">
          <w:rPr>
            <w:rStyle w:val="af0"/>
            <w:rFonts w:ascii="Courier New" w:hAnsi="Courier New" w:cs="Courier New"/>
            <w:color w:val="0069A6"/>
            <w:sz w:val="24"/>
            <w:szCs w:val="24"/>
            <w:shd w:val="clear" w:color="auto" w:fill="FFFFFF"/>
          </w:rPr>
          <w:t>ua</w:t>
        </w:r>
        <w:proofErr w:type="spellEnd"/>
      </w:hyperlink>
      <w:r w:rsidRPr="004B6C5D">
        <w:rPr>
          <w:lang w:val="ru-RU"/>
        </w:rPr>
        <w:t xml:space="preserve"> </w:t>
      </w:r>
    </w:p>
    <w:p w:rsidR="008F09AC" w:rsidRPr="00435336" w:rsidRDefault="008F09AC" w:rsidP="008F09AC">
      <w:pPr>
        <w:spacing w:line="360" w:lineRule="auto"/>
        <w:jc w:val="both"/>
        <w:rPr>
          <w:rStyle w:val="af0"/>
          <w:sz w:val="24"/>
          <w:szCs w:val="24"/>
          <w:lang w:val="ru-RU"/>
        </w:rPr>
      </w:pPr>
    </w:p>
    <w:p w:rsidR="008F09AC" w:rsidRPr="005B3464" w:rsidRDefault="008F09AC" w:rsidP="008F09AC">
      <w:pPr>
        <w:spacing w:line="360" w:lineRule="auto"/>
        <w:jc w:val="both"/>
        <w:rPr>
          <w:b/>
          <w:sz w:val="24"/>
          <w:szCs w:val="24"/>
          <w:lang w:val="uk-UA"/>
        </w:rPr>
      </w:pPr>
      <w:r w:rsidRPr="005B3464">
        <w:rPr>
          <w:b/>
          <w:sz w:val="24"/>
          <w:szCs w:val="24"/>
          <w:lang w:val="uk-UA"/>
        </w:rPr>
        <w:t>Графік роботи:</w:t>
      </w:r>
    </w:p>
    <w:p w:rsidR="008F09AC" w:rsidRPr="005B3464" w:rsidRDefault="008F09AC" w:rsidP="008F09AC">
      <w:pPr>
        <w:spacing w:line="360" w:lineRule="auto"/>
        <w:jc w:val="both"/>
        <w:rPr>
          <w:sz w:val="24"/>
          <w:szCs w:val="24"/>
          <w:lang w:val="uk-UA"/>
        </w:rPr>
      </w:pPr>
      <w:r w:rsidRPr="005B3464">
        <w:rPr>
          <w:sz w:val="24"/>
          <w:szCs w:val="24"/>
          <w:lang w:val="uk-UA"/>
        </w:rPr>
        <w:t xml:space="preserve">Понеділок – четвер </w:t>
      </w:r>
      <w:r>
        <w:rPr>
          <w:b/>
          <w:sz w:val="24"/>
          <w:szCs w:val="24"/>
          <w:lang w:val="uk-UA"/>
        </w:rPr>
        <w:t>9:00 – 18</w:t>
      </w:r>
      <w:r w:rsidRPr="005B3464">
        <w:rPr>
          <w:b/>
          <w:sz w:val="24"/>
          <w:szCs w:val="24"/>
          <w:lang w:val="uk-UA"/>
        </w:rPr>
        <w:t>:00</w:t>
      </w:r>
    </w:p>
    <w:p w:rsidR="008F09AC" w:rsidRPr="005B3464" w:rsidRDefault="008F09AC" w:rsidP="008F09AC">
      <w:pPr>
        <w:spacing w:line="360" w:lineRule="auto"/>
        <w:jc w:val="both"/>
        <w:rPr>
          <w:sz w:val="24"/>
          <w:szCs w:val="24"/>
          <w:lang w:val="uk-UA"/>
        </w:rPr>
      </w:pPr>
      <w:r w:rsidRPr="005B3464">
        <w:rPr>
          <w:sz w:val="24"/>
          <w:szCs w:val="24"/>
          <w:lang w:val="uk-UA"/>
        </w:rPr>
        <w:t xml:space="preserve">П’ятниця та передсвяткові дні </w:t>
      </w:r>
      <w:r>
        <w:rPr>
          <w:b/>
          <w:sz w:val="24"/>
          <w:szCs w:val="24"/>
          <w:lang w:val="uk-UA"/>
        </w:rPr>
        <w:t>9:00 – 18</w:t>
      </w:r>
      <w:r w:rsidRPr="005B3464">
        <w:rPr>
          <w:b/>
          <w:sz w:val="24"/>
          <w:szCs w:val="24"/>
          <w:lang w:val="uk-UA"/>
        </w:rPr>
        <w:t>:00</w:t>
      </w:r>
    </w:p>
    <w:p w:rsidR="008F09AC" w:rsidRPr="005B3464" w:rsidRDefault="008F09AC" w:rsidP="008F09AC">
      <w:pPr>
        <w:spacing w:line="360" w:lineRule="auto"/>
        <w:jc w:val="both"/>
        <w:rPr>
          <w:sz w:val="24"/>
          <w:szCs w:val="24"/>
          <w:lang w:val="uk-UA"/>
        </w:rPr>
      </w:pPr>
      <w:r w:rsidRPr="005B3464">
        <w:rPr>
          <w:sz w:val="24"/>
          <w:szCs w:val="24"/>
          <w:lang w:val="uk-UA"/>
        </w:rPr>
        <w:t xml:space="preserve">Обідня перерва </w:t>
      </w:r>
      <w:r w:rsidRPr="005B3464">
        <w:rPr>
          <w:b/>
          <w:sz w:val="24"/>
          <w:szCs w:val="24"/>
          <w:lang w:val="uk-UA"/>
        </w:rPr>
        <w:t>13:00 – 14:00</w:t>
      </w:r>
    </w:p>
    <w:p w:rsidR="008F09AC" w:rsidRPr="005B3464" w:rsidRDefault="008F09AC" w:rsidP="008F09AC">
      <w:pPr>
        <w:spacing w:line="360" w:lineRule="auto"/>
        <w:jc w:val="both"/>
        <w:rPr>
          <w:sz w:val="24"/>
          <w:szCs w:val="24"/>
          <w:lang w:val="uk-UA"/>
        </w:rPr>
      </w:pPr>
      <w:r w:rsidRPr="005B3464">
        <w:rPr>
          <w:sz w:val="24"/>
          <w:szCs w:val="24"/>
          <w:lang w:val="uk-UA"/>
        </w:rPr>
        <w:t xml:space="preserve">Субота та неділя </w:t>
      </w:r>
      <w:r w:rsidRPr="005B3464">
        <w:rPr>
          <w:b/>
          <w:sz w:val="24"/>
          <w:szCs w:val="24"/>
          <w:lang w:val="uk-UA"/>
        </w:rPr>
        <w:t>Вихідний</w:t>
      </w:r>
    </w:p>
    <w:p w:rsidR="008F09AC" w:rsidRPr="004B6C5D" w:rsidRDefault="008F09AC" w:rsidP="008F09AC">
      <w:pPr>
        <w:pStyle w:val="a7"/>
        <w:numPr>
          <w:ilvl w:val="0"/>
          <w:numId w:val="3"/>
        </w:numPr>
        <w:spacing w:line="360" w:lineRule="auto"/>
        <w:ind w:left="0"/>
        <w:rPr>
          <w:b/>
          <w:sz w:val="24"/>
          <w:szCs w:val="24"/>
          <w:lang w:val="uk-UA"/>
        </w:rPr>
      </w:pPr>
      <w:r w:rsidRPr="005B3464">
        <w:rPr>
          <w:b/>
          <w:sz w:val="24"/>
          <w:szCs w:val="24"/>
          <w:lang w:val="uk-UA"/>
        </w:rPr>
        <w:t>Уповноважені особи, через яких підтримується зв’язок:</w:t>
      </w:r>
    </w:p>
    <w:p w:rsidR="008F09AC" w:rsidRPr="005B3464" w:rsidRDefault="008F09AC" w:rsidP="008F09AC">
      <w:pPr>
        <w:pStyle w:val="a7"/>
        <w:tabs>
          <w:tab w:val="left" w:pos="142"/>
          <w:tab w:val="left" w:pos="284"/>
        </w:tabs>
        <w:spacing w:line="360" w:lineRule="auto"/>
        <w:ind w:left="0"/>
        <w:jc w:val="both"/>
        <w:rPr>
          <w:sz w:val="24"/>
          <w:szCs w:val="24"/>
          <w:lang w:val="uk-UA"/>
        </w:rPr>
      </w:pPr>
      <w:r w:rsidRPr="004B6C5D">
        <w:rPr>
          <w:sz w:val="24"/>
          <w:szCs w:val="24"/>
          <w:lang w:val="uk-UA"/>
        </w:rPr>
        <w:t>Савченко Лариса Анатоліївна</w:t>
      </w:r>
    </w:p>
    <w:p w:rsidR="0047034D" w:rsidRPr="005B3464" w:rsidRDefault="0047034D" w:rsidP="0047034D">
      <w:pPr>
        <w:spacing w:line="360" w:lineRule="auto"/>
        <w:jc w:val="both"/>
        <w:rPr>
          <w:b/>
          <w:sz w:val="24"/>
          <w:szCs w:val="24"/>
          <w:lang w:val="uk-UA"/>
        </w:rPr>
      </w:pPr>
      <w:r>
        <w:rPr>
          <w:sz w:val="24"/>
          <w:szCs w:val="24"/>
          <w:lang w:val="uk-UA"/>
        </w:rPr>
        <w:t xml:space="preserve">Електронна адреса: </w:t>
      </w:r>
      <w:hyperlink r:id="rId17" w:history="1">
        <w:r w:rsidRPr="00C91750">
          <w:rPr>
            <w:rStyle w:val="af0"/>
            <w:rFonts w:ascii="Courier New" w:hAnsi="Courier New" w:cs="Courier New"/>
            <w:color w:val="0069A6"/>
            <w:sz w:val="24"/>
            <w:szCs w:val="24"/>
            <w:shd w:val="clear" w:color="auto" w:fill="FFFFFF"/>
          </w:rPr>
          <w:t>broker</w:t>
        </w:r>
        <w:r w:rsidRPr="00F556A4">
          <w:rPr>
            <w:rStyle w:val="af0"/>
            <w:rFonts w:ascii="Courier New" w:hAnsi="Courier New" w:cs="Courier New"/>
            <w:color w:val="0069A6"/>
            <w:sz w:val="24"/>
            <w:szCs w:val="24"/>
            <w:shd w:val="clear" w:color="auto" w:fill="FFFFFF"/>
            <w:lang w:val="ru-RU"/>
          </w:rPr>
          <w:t>@</w:t>
        </w:r>
        <w:proofErr w:type="spellStart"/>
        <w:r w:rsidRPr="00C91750">
          <w:rPr>
            <w:rStyle w:val="af0"/>
            <w:rFonts w:ascii="Courier New" w:hAnsi="Courier New" w:cs="Courier New"/>
            <w:color w:val="0069A6"/>
            <w:sz w:val="24"/>
            <w:szCs w:val="24"/>
            <w:shd w:val="clear" w:color="auto" w:fill="FFFFFF"/>
          </w:rPr>
          <w:t>industrialbank</w:t>
        </w:r>
        <w:proofErr w:type="spellEnd"/>
        <w:r w:rsidRPr="00F556A4">
          <w:rPr>
            <w:rStyle w:val="af0"/>
            <w:rFonts w:ascii="Courier New" w:hAnsi="Courier New" w:cs="Courier New"/>
            <w:color w:val="0069A6"/>
            <w:sz w:val="24"/>
            <w:szCs w:val="24"/>
            <w:shd w:val="clear" w:color="auto" w:fill="FFFFFF"/>
            <w:lang w:val="ru-RU"/>
          </w:rPr>
          <w:t>.</w:t>
        </w:r>
        <w:proofErr w:type="spellStart"/>
        <w:r w:rsidRPr="00C91750">
          <w:rPr>
            <w:rStyle w:val="af0"/>
            <w:rFonts w:ascii="Courier New" w:hAnsi="Courier New" w:cs="Courier New"/>
            <w:color w:val="0069A6"/>
            <w:sz w:val="24"/>
            <w:szCs w:val="24"/>
            <w:shd w:val="clear" w:color="auto" w:fill="FFFFFF"/>
          </w:rPr>
          <w:t>ua</w:t>
        </w:r>
        <w:proofErr w:type="spellEnd"/>
      </w:hyperlink>
      <w:r w:rsidRPr="004B6C5D">
        <w:rPr>
          <w:lang w:val="ru-RU"/>
        </w:rPr>
        <w:t xml:space="preserve"> </w:t>
      </w:r>
    </w:p>
    <w:p w:rsidR="0047034D" w:rsidRDefault="0047034D" w:rsidP="0047034D">
      <w:pPr>
        <w:spacing w:line="360" w:lineRule="auto"/>
        <w:jc w:val="both"/>
        <w:rPr>
          <w:sz w:val="24"/>
          <w:szCs w:val="24"/>
          <w:lang w:val="uk-UA"/>
        </w:rPr>
      </w:pPr>
      <w:r w:rsidRPr="005B3464">
        <w:rPr>
          <w:sz w:val="24"/>
          <w:szCs w:val="24"/>
          <w:lang w:val="uk-UA"/>
        </w:rPr>
        <w:t>Телефон: 044</w:t>
      </w:r>
      <w:r>
        <w:rPr>
          <w:sz w:val="24"/>
          <w:szCs w:val="24"/>
          <w:lang w:val="uk-UA"/>
        </w:rPr>
        <w:t> 290-89-60</w:t>
      </w:r>
    </w:p>
    <w:p w:rsidR="008F09AC" w:rsidRPr="005B3464" w:rsidRDefault="008F09AC" w:rsidP="008F09AC">
      <w:pPr>
        <w:pStyle w:val="a7"/>
        <w:tabs>
          <w:tab w:val="left" w:pos="142"/>
          <w:tab w:val="left" w:pos="284"/>
        </w:tabs>
        <w:spacing w:line="360" w:lineRule="auto"/>
        <w:ind w:left="0"/>
        <w:jc w:val="both"/>
        <w:rPr>
          <w:sz w:val="24"/>
          <w:szCs w:val="24"/>
          <w:lang w:val="uk-UA"/>
        </w:rPr>
      </w:pPr>
    </w:p>
    <w:p w:rsidR="002F2150" w:rsidRPr="008F09AC" w:rsidRDefault="002F2150">
      <w:pPr>
        <w:rPr>
          <w:lang w:val="uk-UA"/>
        </w:rPr>
      </w:pPr>
    </w:p>
    <w:sectPr w:rsidR="002F2150" w:rsidRPr="008F09AC" w:rsidSect="008F09AC">
      <w:footerReference w:type="default" r:id="rId18"/>
      <w:pgSz w:w="16701" w:h="16838"/>
      <w:pgMar w:top="1134" w:right="2242" w:bottom="709" w:left="1701" w:header="708" w:footer="708" w:gutter="0"/>
      <w:pgNumType w:start="3"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7AF" w:rsidRDefault="007E77AF">
      <w:r>
        <w:separator/>
      </w:r>
    </w:p>
  </w:endnote>
  <w:endnote w:type="continuationSeparator" w:id="0">
    <w:p w:rsidR="007E77AF" w:rsidRDefault="007E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128188"/>
      <w:docPartObj>
        <w:docPartGallery w:val="Page Numbers (Bottom of Page)"/>
        <w:docPartUnique/>
      </w:docPartObj>
    </w:sdtPr>
    <w:sdtEndPr/>
    <w:sdtContent>
      <w:p w:rsidR="007E77AF" w:rsidRDefault="00ED6EDC">
        <w:pPr>
          <w:pStyle w:val="af1"/>
          <w:jc w:val="right"/>
        </w:pPr>
        <w:r>
          <w:fldChar w:fldCharType="begin"/>
        </w:r>
        <w:r>
          <w:instrText>PAGE   \* MERGEFORMAT</w:instrText>
        </w:r>
        <w:r>
          <w:fldChar w:fldCharType="separate"/>
        </w:r>
        <w:r w:rsidRPr="00ED6EDC">
          <w:rPr>
            <w:noProof/>
            <w:lang w:val="ru-RU"/>
          </w:rPr>
          <w:t>7</w:t>
        </w:r>
        <w:r>
          <w:rPr>
            <w:noProof/>
            <w:lang w:val="ru-RU"/>
          </w:rPr>
          <w:fldChar w:fldCharType="end"/>
        </w:r>
      </w:p>
    </w:sdtContent>
  </w:sdt>
  <w:p w:rsidR="007E77AF" w:rsidRPr="00E358EE" w:rsidRDefault="007E77AF">
    <w:pPr>
      <w:pStyle w:val="af1"/>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7AF" w:rsidRDefault="007E77AF">
      <w:r>
        <w:separator/>
      </w:r>
    </w:p>
  </w:footnote>
  <w:footnote w:type="continuationSeparator" w:id="0">
    <w:p w:rsidR="007E77AF" w:rsidRDefault="007E7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3A4"/>
    <w:multiLevelType w:val="hybridMultilevel"/>
    <w:tmpl w:val="7EC6D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79728B"/>
    <w:multiLevelType w:val="hybridMultilevel"/>
    <w:tmpl w:val="A5C880AE"/>
    <w:lvl w:ilvl="0" w:tplc="B6D2331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F75CC6"/>
    <w:multiLevelType w:val="hybridMultilevel"/>
    <w:tmpl w:val="8A42A142"/>
    <w:lvl w:ilvl="0" w:tplc="091496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9739E2"/>
    <w:multiLevelType w:val="hybridMultilevel"/>
    <w:tmpl w:val="A686EA3A"/>
    <w:lvl w:ilvl="0" w:tplc="DA56C60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DB2625"/>
    <w:multiLevelType w:val="hybridMultilevel"/>
    <w:tmpl w:val="CE809CB2"/>
    <w:lvl w:ilvl="0" w:tplc="DA56C60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B70737"/>
    <w:multiLevelType w:val="hybridMultilevel"/>
    <w:tmpl w:val="E6086A5A"/>
    <w:lvl w:ilvl="0" w:tplc="A93CDB4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22607985">
    <w:abstractNumId w:val="1"/>
  </w:num>
  <w:num w:numId="2" w16cid:durableId="51079827">
    <w:abstractNumId w:val="0"/>
  </w:num>
  <w:num w:numId="3" w16cid:durableId="1518428520">
    <w:abstractNumId w:val="2"/>
  </w:num>
  <w:num w:numId="4" w16cid:durableId="539515703">
    <w:abstractNumId w:val="4"/>
  </w:num>
  <w:num w:numId="5" w16cid:durableId="869033782">
    <w:abstractNumId w:val="3"/>
  </w:num>
  <w:num w:numId="6" w16cid:durableId="718474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9AC"/>
    <w:rsid w:val="001357C0"/>
    <w:rsid w:val="0020048C"/>
    <w:rsid w:val="002449C6"/>
    <w:rsid w:val="002A3DA2"/>
    <w:rsid w:val="002F2150"/>
    <w:rsid w:val="00335EF8"/>
    <w:rsid w:val="00450778"/>
    <w:rsid w:val="00453658"/>
    <w:rsid w:val="00454710"/>
    <w:rsid w:val="0047034D"/>
    <w:rsid w:val="004C5D84"/>
    <w:rsid w:val="0050311D"/>
    <w:rsid w:val="00527758"/>
    <w:rsid w:val="00530AF3"/>
    <w:rsid w:val="005648B4"/>
    <w:rsid w:val="0057337D"/>
    <w:rsid w:val="00585D42"/>
    <w:rsid w:val="00677880"/>
    <w:rsid w:val="00751083"/>
    <w:rsid w:val="00773990"/>
    <w:rsid w:val="007E6750"/>
    <w:rsid w:val="007E77AF"/>
    <w:rsid w:val="008B6536"/>
    <w:rsid w:val="008F09AC"/>
    <w:rsid w:val="00967528"/>
    <w:rsid w:val="009C3A69"/>
    <w:rsid w:val="009D0BE6"/>
    <w:rsid w:val="009D3F2A"/>
    <w:rsid w:val="00A8555A"/>
    <w:rsid w:val="00B40797"/>
    <w:rsid w:val="00CC55D3"/>
    <w:rsid w:val="00ED6EDC"/>
    <w:rsid w:val="00F33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EC08"/>
  <w15:docId w15:val="{B232DCB3-A92B-4B58-8D33-7324E048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9AC"/>
    <w:pPr>
      <w:spacing w:after="0" w:line="240" w:lineRule="auto"/>
    </w:pPr>
    <w:rPr>
      <w:rFonts w:ascii="Times New Roman" w:eastAsia="Times New Roman" w:hAnsi="Times New Roman" w:cs="Times New Roman"/>
      <w:kern w:val="0"/>
      <w:sz w:val="20"/>
      <w:szCs w:val="20"/>
      <w:lang w:val="en-US" w:eastAsia="ru-RU"/>
    </w:rPr>
  </w:style>
  <w:style w:type="paragraph" w:styleId="1">
    <w:name w:val="heading 1"/>
    <w:basedOn w:val="a"/>
    <w:next w:val="a"/>
    <w:link w:val="10"/>
    <w:uiPriority w:val="9"/>
    <w:qFormat/>
    <w:rsid w:val="008F09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09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09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F09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F09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F09A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09A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09A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09A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9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09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09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F09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F09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F09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09AC"/>
    <w:rPr>
      <w:rFonts w:eastAsiaTheme="majorEastAsia" w:cstheme="majorBidi"/>
      <w:color w:val="595959" w:themeColor="text1" w:themeTint="A6"/>
    </w:rPr>
  </w:style>
  <w:style w:type="character" w:customStyle="1" w:styleId="80">
    <w:name w:val="Заголовок 8 Знак"/>
    <w:basedOn w:val="a0"/>
    <w:link w:val="8"/>
    <w:uiPriority w:val="9"/>
    <w:semiHidden/>
    <w:rsid w:val="008F09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09AC"/>
    <w:rPr>
      <w:rFonts w:eastAsiaTheme="majorEastAsia" w:cstheme="majorBidi"/>
      <w:color w:val="272727" w:themeColor="text1" w:themeTint="D8"/>
    </w:rPr>
  </w:style>
  <w:style w:type="paragraph" w:styleId="a3">
    <w:name w:val="Title"/>
    <w:basedOn w:val="a"/>
    <w:next w:val="a"/>
    <w:link w:val="a4"/>
    <w:uiPriority w:val="10"/>
    <w:qFormat/>
    <w:rsid w:val="008F09A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0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9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09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09AC"/>
    <w:pPr>
      <w:spacing w:before="160"/>
      <w:jc w:val="center"/>
    </w:pPr>
    <w:rPr>
      <w:i/>
      <w:iCs/>
      <w:color w:val="404040" w:themeColor="text1" w:themeTint="BF"/>
    </w:rPr>
  </w:style>
  <w:style w:type="character" w:customStyle="1" w:styleId="22">
    <w:name w:val="Цитата 2 Знак"/>
    <w:basedOn w:val="a0"/>
    <w:link w:val="21"/>
    <w:uiPriority w:val="29"/>
    <w:rsid w:val="008F09AC"/>
    <w:rPr>
      <w:i/>
      <w:iCs/>
      <w:color w:val="404040" w:themeColor="text1" w:themeTint="BF"/>
    </w:rPr>
  </w:style>
  <w:style w:type="paragraph" w:styleId="a7">
    <w:name w:val="List Paragraph"/>
    <w:basedOn w:val="a"/>
    <w:link w:val="a8"/>
    <w:uiPriority w:val="34"/>
    <w:qFormat/>
    <w:rsid w:val="008F09AC"/>
    <w:pPr>
      <w:ind w:left="720"/>
      <w:contextualSpacing/>
    </w:pPr>
  </w:style>
  <w:style w:type="character" w:styleId="a9">
    <w:name w:val="Intense Emphasis"/>
    <w:basedOn w:val="a0"/>
    <w:uiPriority w:val="21"/>
    <w:qFormat/>
    <w:rsid w:val="008F09AC"/>
    <w:rPr>
      <w:i/>
      <w:iCs/>
      <w:color w:val="2F5496" w:themeColor="accent1" w:themeShade="BF"/>
    </w:rPr>
  </w:style>
  <w:style w:type="paragraph" w:styleId="aa">
    <w:name w:val="Intense Quote"/>
    <w:basedOn w:val="a"/>
    <w:next w:val="a"/>
    <w:link w:val="ab"/>
    <w:uiPriority w:val="30"/>
    <w:qFormat/>
    <w:rsid w:val="008F0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F09AC"/>
    <w:rPr>
      <w:i/>
      <w:iCs/>
      <w:color w:val="2F5496" w:themeColor="accent1" w:themeShade="BF"/>
    </w:rPr>
  </w:style>
  <w:style w:type="character" w:styleId="ac">
    <w:name w:val="Intense Reference"/>
    <w:basedOn w:val="a0"/>
    <w:uiPriority w:val="32"/>
    <w:qFormat/>
    <w:rsid w:val="008F09AC"/>
    <w:rPr>
      <w:b/>
      <w:bCs/>
      <w:smallCaps/>
      <w:color w:val="2F5496" w:themeColor="accent1" w:themeShade="BF"/>
      <w:spacing w:val="5"/>
    </w:rPr>
  </w:style>
  <w:style w:type="paragraph" w:styleId="ad">
    <w:name w:val="No Spacing"/>
    <w:uiPriority w:val="1"/>
    <w:qFormat/>
    <w:rsid w:val="008F09AC"/>
    <w:pPr>
      <w:spacing w:after="0" w:line="240" w:lineRule="auto"/>
    </w:pPr>
    <w:rPr>
      <w:kern w:val="0"/>
    </w:rPr>
  </w:style>
  <w:style w:type="paragraph" w:styleId="ae">
    <w:name w:val="Normal (Web)"/>
    <w:aliases w:val="Знак"/>
    <w:basedOn w:val="a"/>
    <w:link w:val="af"/>
    <w:uiPriority w:val="99"/>
    <w:unhideWhenUsed/>
    <w:rsid w:val="008F09AC"/>
    <w:pPr>
      <w:spacing w:before="100" w:beforeAutospacing="1" w:after="100" w:afterAutospacing="1"/>
    </w:pPr>
    <w:rPr>
      <w:rFonts w:eastAsiaTheme="minorEastAsia"/>
      <w:sz w:val="24"/>
      <w:szCs w:val="24"/>
      <w:lang w:val="ru-RU"/>
    </w:rPr>
  </w:style>
  <w:style w:type="character" w:customStyle="1" w:styleId="af">
    <w:name w:val="Обычный (Интернет) Знак"/>
    <w:aliases w:val="Знак Знак"/>
    <w:link w:val="ae"/>
    <w:uiPriority w:val="99"/>
    <w:locked/>
    <w:rsid w:val="008F09AC"/>
    <w:rPr>
      <w:rFonts w:ascii="Times New Roman" w:eastAsiaTheme="minorEastAsia" w:hAnsi="Times New Roman" w:cs="Times New Roman"/>
      <w:kern w:val="0"/>
      <w:sz w:val="24"/>
      <w:szCs w:val="24"/>
      <w:lang w:val="ru-RU" w:eastAsia="ru-RU"/>
    </w:rPr>
  </w:style>
  <w:style w:type="character" w:styleId="af0">
    <w:name w:val="Hyperlink"/>
    <w:uiPriority w:val="99"/>
    <w:rsid w:val="008F09AC"/>
    <w:rPr>
      <w:color w:val="0000FF"/>
      <w:u w:val="single"/>
    </w:rPr>
  </w:style>
  <w:style w:type="paragraph" w:customStyle="1" w:styleId="11">
    <w:name w:val="Абзац списка1"/>
    <w:basedOn w:val="a"/>
    <w:rsid w:val="008F09AC"/>
    <w:pPr>
      <w:spacing w:after="200" w:line="276" w:lineRule="auto"/>
      <w:ind w:left="720"/>
    </w:pPr>
    <w:rPr>
      <w:rFonts w:ascii="Calibri" w:hAnsi="Calibri"/>
      <w:sz w:val="22"/>
      <w:szCs w:val="22"/>
      <w:lang w:val="ru-RU" w:eastAsia="en-US"/>
    </w:rPr>
  </w:style>
  <w:style w:type="paragraph" w:styleId="af1">
    <w:name w:val="footer"/>
    <w:basedOn w:val="a"/>
    <w:link w:val="af2"/>
    <w:uiPriority w:val="99"/>
    <w:unhideWhenUsed/>
    <w:rsid w:val="008F09AC"/>
    <w:pPr>
      <w:tabs>
        <w:tab w:val="center" w:pos="4677"/>
        <w:tab w:val="right" w:pos="9355"/>
      </w:tabs>
    </w:pPr>
  </w:style>
  <w:style w:type="character" w:customStyle="1" w:styleId="af2">
    <w:name w:val="Нижний колонтитул Знак"/>
    <w:basedOn w:val="a0"/>
    <w:link w:val="af1"/>
    <w:uiPriority w:val="99"/>
    <w:rsid w:val="008F09AC"/>
    <w:rPr>
      <w:rFonts w:ascii="Times New Roman" w:eastAsia="Times New Roman" w:hAnsi="Times New Roman" w:cs="Times New Roman"/>
      <w:kern w:val="0"/>
      <w:sz w:val="20"/>
      <w:szCs w:val="20"/>
      <w:lang w:val="en-US" w:eastAsia="ru-RU"/>
    </w:rPr>
  </w:style>
  <w:style w:type="character" w:customStyle="1" w:styleId="a8">
    <w:name w:val="Абзац списка Знак"/>
    <w:link w:val="a7"/>
    <w:uiPriority w:val="34"/>
    <w:rsid w:val="008F09AC"/>
  </w:style>
  <w:style w:type="character" w:styleId="af3">
    <w:name w:val="FollowedHyperlink"/>
    <w:basedOn w:val="a0"/>
    <w:uiPriority w:val="99"/>
    <w:semiHidden/>
    <w:unhideWhenUsed/>
    <w:rsid w:val="00585D42"/>
    <w:rPr>
      <w:color w:val="954F72" w:themeColor="followedHyperlink"/>
      <w:u w:val="single"/>
    </w:rPr>
  </w:style>
  <w:style w:type="character" w:customStyle="1" w:styleId="Bodytext5">
    <w:name w:val="Body text (5)_"/>
    <w:basedOn w:val="a0"/>
    <w:rsid w:val="009C3A69"/>
    <w:rPr>
      <w:b w:val="0"/>
      <w:bCs w:val="0"/>
      <w:i w:val="0"/>
      <w:iCs w:val="0"/>
      <w:smallCaps w:val="0"/>
      <w:strike w:val="0"/>
      <w:u w:val="none"/>
    </w:rPr>
  </w:style>
  <w:style w:type="character" w:customStyle="1" w:styleId="Bodytext50">
    <w:name w:val="Body text (5)"/>
    <w:basedOn w:val="Bodytext5"/>
    <w:rsid w:val="009C3A6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ustrialbank.ua/ua/litsenzii-banku" TargetMode="External"/><Relationship Id="rId13" Type="http://schemas.openxmlformats.org/officeDocument/2006/relationships/hyperlink" Target="mailto:info@dpss.gov.u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mer.gov.ua/" TargetMode="External"/><Relationship Id="rId17" Type="http://schemas.openxmlformats.org/officeDocument/2006/relationships/hyperlink" Target="mailto:broker@industrialbank.ua" TargetMode="External"/><Relationship Id="rId2" Type="http://schemas.openxmlformats.org/officeDocument/2006/relationships/numbering" Target="numbering.xml"/><Relationship Id="rId16" Type="http://schemas.openxmlformats.org/officeDocument/2006/relationships/hyperlink" Target="mailto:broker@industrialbank.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consumer.gov.ua" TargetMode="External"/><Relationship Id="rId5" Type="http://schemas.openxmlformats.org/officeDocument/2006/relationships/webSettings" Target="webSettings.xml"/><Relationship Id="rId15" Type="http://schemas.openxmlformats.org/officeDocument/2006/relationships/hyperlink" Target="https://industrialbank.ua/ua/zvernennia-kliientiv" TargetMode="External"/><Relationship Id="rId10" Type="http://schemas.openxmlformats.org/officeDocument/2006/relationships/hyperlink" Target="http://www.nssmc.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ssmc.gov.ua" TargetMode="External"/><Relationship Id="rId14" Type="http://schemas.openxmlformats.org/officeDocument/2006/relationships/hyperlink" Target="http://www.dps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ED337-EEFA-4AAE-8515-A78C6C83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8</Pages>
  <Words>3397</Words>
  <Characters>19363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Лариса</dc:creator>
  <cp:keywords/>
  <dc:description/>
  <cp:lastModifiedBy>Савченко Лариса</cp:lastModifiedBy>
  <cp:revision>13</cp:revision>
  <dcterms:created xsi:type="dcterms:W3CDTF">2025-12-19T10:03:00Z</dcterms:created>
  <dcterms:modified xsi:type="dcterms:W3CDTF">2025-12-24T08:17:00Z</dcterms:modified>
</cp:coreProperties>
</file>